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FB57" w14:textId="6AF8BCE8" w:rsidR="008B0432" w:rsidRDefault="008B0432" w:rsidP="001F6030">
      <w:pPr>
        <w:rPr>
          <w:noProof/>
        </w:rPr>
      </w:pPr>
    </w:p>
    <w:p w14:paraId="2F7A1AD6" w14:textId="156498F4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28A9CD" wp14:editId="4BF8A563">
                <wp:simplePos x="0" y="0"/>
                <wp:positionH relativeFrom="column">
                  <wp:posOffset>-561975</wp:posOffset>
                </wp:positionH>
                <wp:positionV relativeFrom="paragraph">
                  <wp:posOffset>202564</wp:posOffset>
                </wp:positionV>
                <wp:extent cx="6867525" cy="9620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62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52EA0B2B" w:rsidR="00D050EF" w:rsidRPr="00D034A9" w:rsidRDefault="0092646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5D00F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second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173B1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D00F4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Q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77777777" w:rsidR="006F36F0" w:rsidRPr="00D034A9" w:rsidRDefault="00926467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>Some of the increase in notifications is likely to be due to the introduction of polymerase chain reaction (PCR) testing of faecal specimens which has greater sensitivity than culture techniques.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15.95pt;width:540.75pt;height:7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" fillcolor="#d7dded [671]" stroked="f">
                <v:textbox>
                  <w:txbxContent>
                    <w:p w14:paraId="0D36CD26" w14:textId="52EA0B2B" w:rsidR="00D050EF" w:rsidRPr="00D034A9" w:rsidRDefault="0092646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5D00F4">
                        <w:rPr>
                          <w:rFonts w:eastAsia="Calibri" w:cs="Arial"/>
                          <w:sz w:val="20"/>
                          <w:szCs w:val="20"/>
                        </w:rPr>
                        <w:t>second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quarter of 20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173B1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(</w:t>
                      </w:r>
                      <w:r w:rsidR="005D00F4">
                        <w:rPr>
                          <w:rFonts w:eastAsia="Calibri" w:cs="Arial"/>
                          <w:sz w:val="20"/>
                          <w:szCs w:val="20"/>
                        </w:rPr>
                        <w:t>2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Q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)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77777777" w:rsidR="006F36F0" w:rsidRPr="00D034A9" w:rsidRDefault="00926467">
                      <w:pPr>
                        <w:rPr>
                          <w:rFonts w:cs="Arial"/>
                          <w:szCs w:val="24"/>
                        </w:rPr>
                      </w:pP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>Some of the increase in notifications is likely to be due to the introduction of polymerase chain reaction (PCR) testing of faecal specimens which has greater sensitivity than culture techniques.</w:t>
                      </w:r>
                    </w:p>
                  </w:txbxContent>
                </v:textbox>
              </v:shape>
            </w:pict>
          </mc:Fallback>
        </mc:AlternateContent>
      </w:r>
      <w:r w:rsidR="00C6252C"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E064D8" wp14:editId="50624E7E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047E2615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5D00F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</w:t>
                            </w:r>
                            <w:r w:rsidR="005D00F4" w:rsidRPr="005D00F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="005D00F4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106.4pt;margin-top:-13.8pt;width:656.75pt;height:3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" filled="f" stroked="f">
                <v:textbox>
                  <w:txbxContent>
                    <w:p w14:paraId="063F055C" w14:textId="047E2615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5D00F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</w:t>
                      </w:r>
                      <w:r w:rsidR="005D00F4" w:rsidRPr="005D00F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nd</w:t>
                      </w:r>
                      <w:r w:rsidR="005D00F4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6A4CD" wp14:editId="666A229F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A4CD" id="Text Box 7" o:spid="_x0000_s1028" type="#_x0000_t202" style="position:absolute;margin-left:380.45pt;margin-top:-46.6pt;width:148.35pt;height:2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1E5C6C2F" wp14:editId="10BF085A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56192" behindDoc="0" locked="0" layoutInCell="1" allowOverlap="1" wp14:anchorId="0A4C912B" wp14:editId="0BB02F54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46299" w14:textId="667D92E1" w:rsidR="009C4DFF" w:rsidRDefault="00CC4DE6" w:rsidP="009C4DFF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30916A8" wp14:editId="43061506">
            <wp:simplePos x="0" y="0"/>
            <wp:positionH relativeFrom="column">
              <wp:posOffset>-285115</wp:posOffset>
            </wp:positionH>
            <wp:positionV relativeFrom="paragraph">
              <wp:posOffset>4432935</wp:posOffset>
            </wp:positionV>
            <wp:extent cx="6299094" cy="3692237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094" cy="3692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55E49A5" wp14:editId="42AD59CE">
            <wp:simplePos x="0" y="0"/>
            <wp:positionH relativeFrom="column">
              <wp:posOffset>-753110</wp:posOffset>
            </wp:positionH>
            <wp:positionV relativeFrom="paragraph">
              <wp:posOffset>1075690</wp:posOffset>
            </wp:positionV>
            <wp:extent cx="7232015" cy="30766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15" cy="30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D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9A6F36" wp14:editId="4AC5F211">
                <wp:simplePos x="0" y="0"/>
                <wp:positionH relativeFrom="column">
                  <wp:posOffset>-575945</wp:posOffset>
                </wp:positionH>
                <wp:positionV relativeFrom="paragraph">
                  <wp:posOffset>1004570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67F0795B" w:rsidR="006F36F0" w:rsidRPr="00143F9C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5D00F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143F9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29" type="#_x0000_t202" style="position:absolute;margin-left:-45.35pt;margin-top:79.1pt;width:540.75pt;height:232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" fillcolor="#d7dded [671]" stroked="f">
                <v:fill opacity="32896f"/>
                <v:textbox>
                  <w:txbxContent>
                    <w:p w14:paraId="2F70CE48" w14:textId="67F0795B" w:rsidR="006F36F0" w:rsidRPr="00143F9C" w:rsidRDefault="006F36F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5D00F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Pr="00143F9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842C2"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90E1C2" wp14:editId="4075BF23">
                <wp:simplePos x="0" y="0"/>
                <wp:positionH relativeFrom="column">
                  <wp:posOffset>-564078</wp:posOffset>
                </wp:positionH>
                <wp:positionV relativeFrom="paragraph">
                  <wp:posOffset>8082956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9CA0" w14:textId="77777777" w:rsidR="0066016D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B70DAF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14:paraId="7951F64D" w14:textId="77777777" w:rsidR="009678CC" w:rsidRPr="009678CC" w:rsidRDefault="00CC4DE6" w:rsidP="009678CC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2" w:history="1">
                              <w:r w:rsidR="009678CC" w:rsidRPr="009678CC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https://ww2.health.wa.gov.au/-/media/Corp/Documents/Health-for/Infectious-disease/OZfoodnet/Word/WA-OzFoodnet-appendix1-2020-Q2.docx</w:t>
                              </w:r>
                            </w:hyperlink>
                          </w:p>
                          <w:p w14:paraId="07097986" w14:textId="09A29BD8" w:rsidR="00A6066D" w:rsidRPr="00A6066D" w:rsidRDefault="00A6066D" w:rsidP="00732A7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E1C2" id="Text Box 21" o:spid="_x0000_s1030" type="#_x0000_t202" style="position:absolute;margin-left:-44.4pt;margin-top:636.45pt;width:539.55pt;height:3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x+ggIAAGs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" filled="f" stroked="f" strokeweight=".5pt">
                <v:textbox>
                  <w:txbxContent>
                    <w:p w14:paraId="56549CA0" w14:textId="77777777" w:rsidR="0066016D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B70DAF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14:paraId="7951F64D" w14:textId="77777777" w:rsidR="009678CC" w:rsidRPr="009678CC" w:rsidRDefault="00CC4DE6" w:rsidP="009678CC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3" w:history="1">
                        <w:r w:rsidR="009678CC" w:rsidRPr="009678CC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https://ww2.health.wa.gov.au/-/media/Corp/Documents/Health-for/Infectious-disease/OZfoodnet/Word/WA-OzFoodnet-appendix1-2020-Q2.docx</w:t>
                        </w:r>
                      </w:hyperlink>
                    </w:p>
                    <w:p w14:paraId="07097986" w14:textId="09A29BD8" w:rsidR="00A6066D" w:rsidRPr="00A6066D" w:rsidRDefault="00A6066D" w:rsidP="00732A7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829AE" wp14:editId="003275FA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CE36" w14:textId="77777777"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31" type="#_x0000_t202" style="position:absolute;margin-left:-45.75pt;margin-top:675.75pt;width:542.15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QDEAIAAPsDAAAOAAAAZHJzL2Uyb0RvYy54bWysU9uO2yAQfa/Uf0C8N3bceD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7GG0&#10;Ax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14:paraId="2064CE36" w14:textId="77777777"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76B429" wp14:editId="2AE4A1EE">
                <wp:simplePos x="0" y="0"/>
                <wp:positionH relativeFrom="column">
                  <wp:posOffset>-580445</wp:posOffset>
                </wp:positionH>
                <wp:positionV relativeFrom="paragraph">
                  <wp:posOffset>4090007</wp:posOffset>
                </wp:positionV>
                <wp:extent cx="6868795" cy="4492487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924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77777777"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</w:t>
                            </w:r>
                            <w:proofErr w:type="gramStart"/>
                            <w:r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E065B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14:paraId="39A856B8" w14:textId="77777777" w:rsidR="00F16266" w:rsidRDefault="00F16266" w:rsidP="00F16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2" type="#_x0000_t202" style="position:absolute;margin-left:-45.7pt;margin-top:322.05pt;width:540.85pt;height:353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" fillcolor="#d7dded [671]" stroked="f">
                <v:fill opacity="32896f"/>
                <v:textbox>
                  <w:txbxContent>
                    <w:p w14:paraId="19E9CE9F" w14:textId="77777777"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</w:t>
                      </w:r>
                      <w:proofErr w:type="gramStart"/>
                      <w:r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E065B7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14:paraId="39A856B8" w14:textId="77777777" w:rsidR="00F16266" w:rsidRDefault="00F16266" w:rsidP="00F16266"/>
                  </w:txbxContent>
                </v:textbox>
              </v:shape>
            </w:pict>
          </mc:Fallback>
        </mc:AlternateContent>
      </w:r>
      <w:r w:rsidR="00F16266">
        <w:br w:type="page"/>
      </w:r>
      <w:bookmarkStart w:id="0" w:name="_GoBack"/>
      <w:bookmarkEnd w:id="0"/>
    </w:p>
    <w:p w14:paraId="78278622" w14:textId="21D68B19" w:rsidR="00F16266" w:rsidRPr="00C862D8" w:rsidRDefault="00ED5CC5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358067A" wp14:editId="20250473">
            <wp:simplePos x="0" y="0"/>
            <wp:positionH relativeFrom="column">
              <wp:posOffset>2971800</wp:posOffset>
            </wp:positionH>
            <wp:positionV relativeFrom="paragraph">
              <wp:posOffset>347345</wp:posOffset>
            </wp:positionV>
            <wp:extent cx="3285490" cy="1462142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4" b="50757"/>
                    <a:stretch/>
                  </pic:blipFill>
                  <pic:spPr bwMode="auto">
                    <a:xfrm>
                      <a:off x="0" y="0"/>
                      <a:ext cx="3285490" cy="14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4389168" wp14:editId="47288199">
            <wp:simplePos x="0" y="0"/>
            <wp:positionH relativeFrom="column">
              <wp:posOffset>-504825</wp:posOffset>
            </wp:positionH>
            <wp:positionV relativeFrom="paragraph">
              <wp:posOffset>355600</wp:posOffset>
            </wp:positionV>
            <wp:extent cx="3293745" cy="1458576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5" b="70122"/>
                    <a:stretch/>
                  </pic:blipFill>
                  <pic:spPr bwMode="auto">
                    <a:xfrm>
                      <a:off x="0" y="0"/>
                      <a:ext cx="3293745" cy="145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 w:rsidR="005D00F4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</w:t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</w:t>
      </w:r>
      <w:r w:rsidR="00BF4F31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20</w:t>
      </w:r>
    </w:p>
    <w:p w14:paraId="7ACC60F3" w14:textId="6AD79E00" w:rsidR="00ED5CC5" w:rsidRDefault="00ED5CC5" w:rsidP="00F16266">
      <w:pPr>
        <w:rPr>
          <w:noProof/>
        </w:rPr>
      </w:pPr>
    </w:p>
    <w:p w14:paraId="1F51BE9D" w14:textId="3FD028CE" w:rsidR="00F16266" w:rsidRPr="00F16266" w:rsidRDefault="00F16266" w:rsidP="00F16266"/>
    <w:p w14:paraId="1E0A550B" w14:textId="6042D2F2" w:rsidR="00F16266" w:rsidRPr="00F16266" w:rsidRDefault="00F16266" w:rsidP="00F16266"/>
    <w:p w14:paraId="0D6D4FD4" w14:textId="29AA39C9" w:rsidR="00F16266" w:rsidRPr="00F16266" w:rsidRDefault="00F16266" w:rsidP="00F16266"/>
    <w:p w14:paraId="359C40C6" w14:textId="6B1BBC35" w:rsidR="00F16266" w:rsidRPr="00F16266" w:rsidRDefault="00F16266" w:rsidP="00F16266"/>
    <w:p w14:paraId="466DADB7" w14:textId="63A4B4B9" w:rsidR="00F16266" w:rsidRPr="00F16266" w:rsidRDefault="00ED5CC5" w:rsidP="00F16266">
      <w:r>
        <w:rPr>
          <w:noProof/>
        </w:rPr>
        <w:drawing>
          <wp:anchor distT="0" distB="0" distL="114300" distR="114300" simplePos="0" relativeHeight="251662848" behindDoc="0" locked="0" layoutInCell="1" allowOverlap="1" wp14:anchorId="688615F8" wp14:editId="7800B1E8">
            <wp:simplePos x="0" y="0"/>
            <wp:positionH relativeFrom="column">
              <wp:posOffset>971550</wp:posOffset>
            </wp:positionH>
            <wp:positionV relativeFrom="paragraph">
              <wp:posOffset>149225</wp:posOffset>
            </wp:positionV>
            <wp:extent cx="3784482" cy="1590675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43" b="33944"/>
                    <a:stretch/>
                  </pic:blipFill>
                  <pic:spPr bwMode="auto">
                    <a:xfrm>
                      <a:off x="0" y="0"/>
                      <a:ext cx="3784482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946E8" w14:textId="7DB353D9" w:rsidR="00956876" w:rsidRDefault="00956876" w:rsidP="00F16266">
      <w:pPr>
        <w:rPr>
          <w:noProof/>
        </w:rPr>
      </w:pPr>
    </w:p>
    <w:p w14:paraId="6DF8FBC3" w14:textId="77777777" w:rsidR="00ED5CC5" w:rsidRDefault="00ED5CC5" w:rsidP="00F16266">
      <w:pPr>
        <w:rPr>
          <w:noProof/>
        </w:rPr>
      </w:pPr>
    </w:p>
    <w:p w14:paraId="78AE31C0" w14:textId="3739C874" w:rsidR="00F16266" w:rsidRPr="00F16266" w:rsidRDefault="00F16266" w:rsidP="00F16266"/>
    <w:p w14:paraId="5530E88A" w14:textId="1C8F391F" w:rsidR="00956876" w:rsidRDefault="00956876" w:rsidP="00F16266">
      <w:pPr>
        <w:rPr>
          <w:noProof/>
        </w:rPr>
      </w:pPr>
    </w:p>
    <w:p w14:paraId="7CC83954" w14:textId="499CDCEE" w:rsidR="007A4E48" w:rsidRDefault="007A4E48" w:rsidP="009C4DFF"/>
    <w:p w14:paraId="67F33837" w14:textId="20E49582" w:rsidR="00F16266" w:rsidRPr="00F16266" w:rsidRDefault="00E842C2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E9CDAE" wp14:editId="4DB5FDA1">
                <wp:simplePos x="0" y="0"/>
                <wp:positionH relativeFrom="column">
                  <wp:posOffset>-476885</wp:posOffset>
                </wp:positionH>
                <wp:positionV relativeFrom="paragraph">
                  <wp:posOffset>32797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6A4B6ACE"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5D00F4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20</w:t>
                            </w:r>
                            <w:r w:rsidRPr="00A6066D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40364E6A" w14:textId="77777777" w:rsidR="009678CC" w:rsidRPr="009678CC" w:rsidRDefault="00CC4DE6" w:rsidP="009678CC">
                            <w:pPr>
                              <w:spacing w:after="0"/>
                              <w:rPr>
                                <w:rFonts w:ascii="Calibri" w:hAnsi="Calibri"/>
                                <w:color w:val="004B8D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16" w:history="1">
                              <w:r w:rsidR="009678CC" w:rsidRPr="009678CC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https://ww2.health.wa.gov.au/-/media/Corp/Documents/Health-for/Infectious-disease/OZfoodnet/Word/WA-OzFoodnet-appendix2-2020-Q2.docx</w:t>
                              </w:r>
                            </w:hyperlink>
                          </w:p>
                          <w:p w14:paraId="51A965C4" w14:textId="77777777" w:rsidR="0066016D" w:rsidRPr="00BB48D3" w:rsidRDefault="0066016D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3" type="#_x0000_t202" style="position:absolute;margin-left:-37.55pt;margin-top:2.6pt;width:528.25pt;height:4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" filled="f" stroked="f" strokeweight=".5pt">
                <v:textbox>
                  <w:txbxContent>
                    <w:p w14:paraId="2DC2C766" w14:textId="6A4B6ACE"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</w:t>
                      </w:r>
                      <w:r w:rsidRPr="00A6066D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5D00F4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20</w:t>
                      </w:r>
                      <w:r w:rsidRPr="00A6066D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40364E6A" w14:textId="77777777" w:rsidR="009678CC" w:rsidRPr="009678CC" w:rsidRDefault="00CC4DE6" w:rsidP="009678CC">
                      <w:pPr>
                        <w:spacing w:after="0"/>
                        <w:rPr>
                          <w:rFonts w:ascii="Calibri" w:hAnsi="Calibri"/>
                          <w:color w:val="004B8D"/>
                          <w:sz w:val="16"/>
                          <w:szCs w:val="16"/>
                          <w:u w:val="single"/>
                        </w:rPr>
                      </w:pPr>
                      <w:hyperlink r:id="rId17" w:history="1">
                        <w:r w:rsidR="009678CC" w:rsidRPr="009678CC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https://ww2.health.wa.gov.au/-/media/Corp/Documents/Health-for/Infectious-disease/OZfoodnet/Word/WA-OzFoodnet-appendix2-2020-Q2.docx</w:t>
                        </w:r>
                      </w:hyperlink>
                    </w:p>
                    <w:p w14:paraId="51A965C4" w14:textId="77777777" w:rsidR="0066016D" w:rsidRPr="00BB48D3" w:rsidRDefault="0066016D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F8CCAB" w14:textId="2119D964" w:rsidR="00F16266" w:rsidRPr="00F16266" w:rsidRDefault="009A7D15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96EBB" wp14:editId="5F03F617">
                <wp:simplePos x="0" y="0"/>
                <wp:positionH relativeFrom="column">
                  <wp:posOffset>-476655</wp:posOffset>
                </wp:positionH>
                <wp:positionV relativeFrom="paragraph">
                  <wp:posOffset>319836</wp:posOffset>
                </wp:positionV>
                <wp:extent cx="6708775" cy="5000017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50000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1218028E"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5D00F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</w:t>
                            </w:r>
                            <w:r w:rsidRPr="00600F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  <w:p w14:paraId="215C961A" w14:textId="77777777"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77F73052" w14:textId="77777777"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</w:t>
                            </w:r>
                            <w:r w:rsidRPr="00C862D8"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F2C">
                              <w:rPr>
                                <w:rFonts w:eastAsia="Calibri" w:cs="Times New Roman"/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</w:p>
                          <w:p w14:paraId="6105A190" w14:textId="750AD8C1" w:rsidR="00BB48D3" w:rsidRPr="00627EBE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MLVA 03-17-09-12-523 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has been under investigation since the type emerged in September 2016. From September 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14646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June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F51AF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were 1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701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171EAF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19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in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. This MLVA type was the single mos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constituting 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D54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Of the 1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19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were part of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point source outbreak identified in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Tiramisu</w:t>
                            </w:r>
                            <w:r w:rsidR="00240211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containing raw eggs</w:t>
                            </w:r>
                            <w:r w:rsidR="00DE7A1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was implicated in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outbreak. Of the remaining 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113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most (</w:t>
                            </w:r>
                            <w:r w:rsidR="00ED5CC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89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resided in the Perth metropolitan area. 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Hospitalisation data were confirmed for </w:t>
                            </w:r>
                            <w:r w:rsidR="00ED5CC5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101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community cases; 2</w:t>
                            </w:r>
                            <w:r w:rsidR="00ED5CC5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% were hospitalised.</w:t>
                            </w:r>
                          </w:p>
                          <w:p w14:paraId="3014012F" w14:textId="646DD929" w:rsidR="00D050EF" w:rsidRPr="00FC2612" w:rsidRDefault="009A7D15" w:rsidP="00F25D18">
                            <w:pPr>
                              <w:jc w:val="center"/>
                            </w:pPr>
                            <w:r w:rsidRPr="009A7D15">
                              <w:rPr>
                                <w:noProof/>
                              </w:rPr>
                              <w:drawing>
                                <wp:inline distT="0" distB="0" distL="0" distR="0" wp14:anchorId="06F30F84" wp14:editId="73E5B766">
                                  <wp:extent cx="6313251" cy="285832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6569" cy="2882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030C5D68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WA, 2016 to </w:t>
                            </w:r>
                            <w:r w:rsidR="005D00F4">
                              <w:rPr>
                                <w:color w:val="465E9C" w:themeColor="text2"/>
                                <w:sz w:val="20"/>
                              </w:rPr>
                              <w:t>June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</w:t>
                            </w:r>
                            <w:r w:rsidR="00BF4F31">
                              <w:rPr>
                                <w:color w:val="465E9C" w:themeColor="text2"/>
                                <w:sz w:val="20"/>
                              </w:rPr>
                              <w:t>20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4" type="#_x0000_t202" style="position:absolute;margin-left:-37.55pt;margin-top:25.2pt;width:528.25pt;height:3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" fillcolor="#d7dded [671]" stroked="f">
                <v:fill opacity="32896f"/>
                <v:textbox>
                  <w:txbxContent>
                    <w:p w14:paraId="453BC760" w14:textId="1218028E"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5D00F4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</w:t>
                      </w:r>
                      <w:r w:rsidRPr="00600F2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  <w:p w14:paraId="215C961A" w14:textId="77777777"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14:paraId="77F73052" w14:textId="77777777"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</w:t>
                      </w:r>
                      <w:r w:rsidRPr="00C862D8"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00F2C">
                        <w:rPr>
                          <w:rFonts w:eastAsia="Calibri" w:cs="Times New Roman"/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03-17-09-12-523 </w:t>
                      </w:r>
                    </w:p>
                    <w:p w14:paraId="6105A190" w14:textId="750AD8C1" w:rsidR="00BB48D3" w:rsidRPr="00627EBE" w:rsidRDefault="00BB48D3" w:rsidP="00BB48D3">
                      <w:pPr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MLVA 03-17-09-12-523 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has been under investigation since the type emerged in September 2016. From September 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14646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June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</w:t>
                      </w:r>
                      <w:r w:rsidR="00F51AF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were 1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701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171EAF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19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in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. This MLVA type was the single mos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constituting 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Pr="002D5423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Of the 1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19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6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5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were part of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a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point source outbreak identified in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Tiramisu</w:t>
                      </w:r>
                      <w:r w:rsidR="00240211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containing raw eggs</w:t>
                      </w:r>
                      <w:r w:rsidR="00DE7A1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was implicated in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the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outbreak. Of the remaining 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113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most (</w:t>
                      </w:r>
                      <w:r w:rsidR="00ED5CC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89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resided in the Perth metropolitan area. 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Hospitalisation data were confirmed for </w:t>
                      </w:r>
                      <w:r w:rsidR="00ED5CC5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101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community cases; 2</w:t>
                      </w:r>
                      <w:r w:rsidR="00ED5CC5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% were hospitalised.</w:t>
                      </w:r>
                    </w:p>
                    <w:p w14:paraId="3014012F" w14:textId="646DD929" w:rsidR="00D050EF" w:rsidRPr="00FC2612" w:rsidRDefault="009A7D15" w:rsidP="00F25D18">
                      <w:pPr>
                        <w:jc w:val="center"/>
                      </w:pPr>
                      <w:r w:rsidRPr="009A7D15">
                        <w:rPr>
                          <w:noProof/>
                        </w:rPr>
                        <w:drawing>
                          <wp:inline distT="0" distB="0" distL="0" distR="0" wp14:anchorId="06F30F84" wp14:editId="73E5B766">
                            <wp:extent cx="6313251" cy="2858321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6569" cy="2882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030C5D68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WA, 2016 to </w:t>
                      </w:r>
                      <w:r w:rsidR="005D00F4">
                        <w:rPr>
                          <w:color w:val="465E9C" w:themeColor="text2"/>
                          <w:sz w:val="20"/>
                        </w:rPr>
                        <w:t>June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</w:t>
                      </w:r>
                      <w:r w:rsidR="00BF4F31">
                        <w:rPr>
                          <w:color w:val="465E9C" w:themeColor="text2"/>
                          <w:sz w:val="20"/>
                        </w:rPr>
                        <w:t>20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080FC" w14:textId="568400A7" w:rsidR="00F16266" w:rsidRDefault="00F16266" w:rsidP="00F16266"/>
    <w:p w14:paraId="2AF0F440" w14:textId="77777777" w:rsidR="00286B46" w:rsidRDefault="00F16266" w:rsidP="00F16266">
      <w:pPr>
        <w:tabs>
          <w:tab w:val="left" w:pos="1861"/>
        </w:tabs>
      </w:pPr>
      <w:r>
        <w:tab/>
      </w:r>
    </w:p>
    <w:p w14:paraId="78D717A2" w14:textId="77777777" w:rsidR="00286B46" w:rsidRPr="00286B46" w:rsidRDefault="00286B46" w:rsidP="00286B46"/>
    <w:p w14:paraId="6EB2A0A1" w14:textId="77777777" w:rsidR="00286B46" w:rsidRPr="00286B46" w:rsidRDefault="00286B46" w:rsidP="00286B46"/>
    <w:p w14:paraId="55C92737" w14:textId="77777777" w:rsidR="00286B46" w:rsidRDefault="00286B46" w:rsidP="00286B46"/>
    <w:p w14:paraId="20F24405" w14:textId="77777777" w:rsidR="009342F3" w:rsidRDefault="009342F3" w:rsidP="00286B46">
      <w:pPr>
        <w:rPr>
          <w:b/>
          <w:color w:val="FF0000"/>
        </w:rPr>
      </w:pPr>
    </w:p>
    <w:p w14:paraId="092841E5" w14:textId="77777777" w:rsidR="009342F3" w:rsidRDefault="009342F3" w:rsidP="00286B46">
      <w:pPr>
        <w:rPr>
          <w:b/>
          <w:color w:val="FF0000"/>
        </w:rPr>
      </w:pPr>
    </w:p>
    <w:p w14:paraId="6874AC01" w14:textId="77777777" w:rsidR="009342F3" w:rsidRDefault="009342F3" w:rsidP="00286B46">
      <w:pPr>
        <w:rPr>
          <w:b/>
          <w:color w:val="FF0000"/>
        </w:rPr>
      </w:pPr>
    </w:p>
    <w:p w14:paraId="5EF79CF2" w14:textId="77777777" w:rsidR="009342F3" w:rsidRDefault="009342F3" w:rsidP="00286B46">
      <w:pPr>
        <w:rPr>
          <w:b/>
          <w:color w:val="FF0000"/>
        </w:rPr>
      </w:pPr>
    </w:p>
    <w:p w14:paraId="5C4CD00C" w14:textId="77777777" w:rsidR="009342F3" w:rsidRDefault="009342F3" w:rsidP="00286B46">
      <w:pPr>
        <w:rPr>
          <w:b/>
          <w:color w:val="FF0000"/>
        </w:rPr>
      </w:pPr>
    </w:p>
    <w:p w14:paraId="09D637ED" w14:textId="77777777" w:rsidR="0064090A" w:rsidRDefault="0064090A" w:rsidP="00286B46">
      <w:pPr>
        <w:rPr>
          <w:b/>
          <w:color w:val="FF0000"/>
        </w:rPr>
      </w:pPr>
    </w:p>
    <w:p w14:paraId="7A2C3139" w14:textId="77777777" w:rsidR="004C2780" w:rsidRDefault="004C2780" w:rsidP="00B62E68">
      <w:pPr>
        <w:rPr>
          <w:b/>
          <w:color w:val="FF0000"/>
        </w:rPr>
      </w:pPr>
    </w:p>
    <w:p w14:paraId="0C694568" w14:textId="77777777" w:rsidR="005D47ED" w:rsidRDefault="005D47ED" w:rsidP="00B62E68">
      <w:pPr>
        <w:rPr>
          <w:b/>
          <w:color w:val="FF0000"/>
        </w:rPr>
      </w:pPr>
    </w:p>
    <w:p w14:paraId="3D985743" w14:textId="77777777" w:rsidR="005D47ED" w:rsidRDefault="005D47ED" w:rsidP="00B62E68">
      <w:pPr>
        <w:rPr>
          <w:b/>
          <w:color w:val="FF0000"/>
        </w:rPr>
      </w:pPr>
    </w:p>
    <w:p w14:paraId="18586CD3" w14:textId="536E6DD1" w:rsidR="005D47ED" w:rsidRDefault="005D47ED" w:rsidP="00B62E68">
      <w:pPr>
        <w:rPr>
          <w:b/>
          <w:color w:val="FF0000"/>
        </w:rPr>
      </w:pPr>
    </w:p>
    <w:p w14:paraId="13539912" w14:textId="355C9E47" w:rsidR="00A868F6" w:rsidRDefault="00A868F6" w:rsidP="00B62E68">
      <w:pPr>
        <w:rPr>
          <w:b/>
          <w:color w:val="FF0000"/>
        </w:rPr>
      </w:pPr>
    </w:p>
    <w:p w14:paraId="092406C8" w14:textId="339E0A50" w:rsidR="00DB0727" w:rsidRDefault="00DB0727" w:rsidP="00B62E68">
      <w:pPr>
        <w:rPr>
          <w:b/>
          <w:color w:val="FF0000"/>
        </w:rPr>
      </w:pPr>
    </w:p>
    <w:p w14:paraId="4624E5D2" w14:textId="3D30D70B" w:rsidR="00DB0727" w:rsidRPr="00DB0727" w:rsidRDefault="00490481" w:rsidP="00DB072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1DB853" wp14:editId="3B7895DD">
                <wp:simplePos x="0" y="0"/>
                <wp:positionH relativeFrom="column">
                  <wp:posOffset>-486383</wp:posOffset>
                </wp:positionH>
                <wp:positionV relativeFrom="paragraph">
                  <wp:posOffset>-525294</wp:posOffset>
                </wp:positionV>
                <wp:extent cx="6708775" cy="280156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80156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17FF" w14:textId="3B0039DC" w:rsidR="009C4DFF" w:rsidRPr="008D2F70" w:rsidRDefault="009C4DFF" w:rsidP="009C4DFF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C</w:t>
                            </w:r>
                            <w:r w:rsidR="0014646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OVID-19 impact on enteric disease notifications</w:t>
                            </w:r>
                          </w:p>
                          <w:p w14:paraId="583E3BE9" w14:textId="01B4788B" w:rsidR="003C1946" w:rsidRPr="009A7D15" w:rsidRDefault="00264633" w:rsidP="008975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D15">
                              <w:rPr>
                                <w:sz w:val="20"/>
                                <w:szCs w:val="20"/>
                              </w:rPr>
                              <w:t>Based on 2Q20 data presented above the number of notifications for 12 out of the 16 notifiable enteric diseases decreased compared to the five</w:t>
                            </w:r>
                            <w:r w:rsidR="00DF58A4" w:rsidRPr="009A7D1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DF58A4" w:rsidRPr="009A7D15">
                              <w:rPr>
                                <w:sz w:val="20"/>
                                <w:szCs w:val="20"/>
                              </w:rPr>
                              <w:t>mean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 xml:space="preserve"> for this quarter.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>Several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 changes in March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>because of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 the COVID-19 pandemic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 xml:space="preserve">likely </w:t>
                            </w:r>
                            <w:r w:rsidR="003C1946" w:rsidRPr="009A7D15">
                              <w:rPr>
                                <w:sz w:val="20"/>
                                <w:szCs w:val="20"/>
                              </w:rPr>
                              <w:t xml:space="preserve">contributed to the decrease which 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>includ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 ban on </w:t>
                            </w:r>
                            <w:r w:rsidR="003C1946" w:rsidRPr="009A7D15">
                              <w:rPr>
                                <w:sz w:val="20"/>
                                <w:szCs w:val="20"/>
                              </w:rPr>
                              <w:t xml:space="preserve">international 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travel, limits on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>size of gatherings, venue closures including swimming pools and restaurants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>, increased handwashing</w:t>
                            </w:r>
                            <w:r w:rsidR="00554DF8" w:rsidRPr="009A7D15">
                              <w:rPr>
                                <w:sz w:val="20"/>
                                <w:szCs w:val="20"/>
                              </w:rPr>
                              <w:t xml:space="preserve"> as well as other social distancing measures</w:t>
                            </w:r>
                            <w:r w:rsidR="003C1946" w:rsidRPr="009A7D1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 xml:space="preserve"> The decrease 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 xml:space="preserve">may also be due to a reduction in the number of individuals being tested for enteric diseases. Data from pathology clinics </w:t>
                            </w:r>
                            <w:r w:rsidR="0069342F" w:rsidRPr="009A7D15">
                              <w:rPr>
                                <w:sz w:val="20"/>
                                <w:szCs w:val="20"/>
                              </w:rPr>
                              <w:t xml:space="preserve">in WA </w:t>
                            </w:r>
                            <w:r w:rsidR="009A7D15" w:rsidRPr="009A7D15">
                              <w:rPr>
                                <w:sz w:val="20"/>
                                <w:szCs w:val="20"/>
                              </w:rPr>
                              <w:t xml:space="preserve">recorded a 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 xml:space="preserve">lower number of </w:t>
                            </w:r>
                            <w:r w:rsidR="009A7D15" w:rsidRPr="009A7D15">
                              <w:rPr>
                                <w:sz w:val="20"/>
                                <w:szCs w:val="20"/>
                              </w:rPr>
                              <w:t xml:space="preserve">faecal 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 xml:space="preserve">specimens </w:t>
                            </w:r>
                            <w:r w:rsidR="009A7D15" w:rsidRPr="009A7D15">
                              <w:rPr>
                                <w:sz w:val="20"/>
                                <w:szCs w:val="20"/>
                              </w:rPr>
                              <w:t xml:space="preserve">tested from April </w:t>
                            </w:r>
                            <w:r w:rsidRPr="009A7D15">
                              <w:rPr>
                                <w:sz w:val="20"/>
                                <w:szCs w:val="20"/>
                              </w:rPr>
                              <w:t>2020 compared to 2019.</w:t>
                            </w:r>
                          </w:p>
                          <w:p w14:paraId="55670C79" w14:textId="77777777" w:rsidR="008D2F70" w:rsidRPr="008D2F70" w:rsidRDefault="008D2F70" w:rsidP="008D2F70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Haemolytic uraemic syndrome</w:t>
                            </w:r>
                            <w:r w:rsidR="00E60B40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 (HUS)</w:t>
                            </w:r>
                          </w:p>
                          <w:p w14:paraId="6D56620F" w14:textId="4C94F4D0" w:rsidR="008D2F70" w:rsidRPr="00ED02A8" w:rsidRDefault="00E60B40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34E4">
                              <w:rPr>
                                <w:sz w:val="20"/>
                                <w:szCs w:val="20"/>
                              </w:rPr>
                              <w:t>One HUS case was</w:t>
                            </w:r>
                            <w:r w:rsidR="008D2F70" w:rsidRPr="009834E4">
                              <w:rPr>
                                <w:sz w:val="20"/>
                                <w:szCs w:val="20"/>
                              </w:rPr>
                              <w:t xml:space="preserve"> notified in </w:t>
                            </w:r>
                            <w:r w:rsidR="0014646C" w:rsidRPr="002C41C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2C41C4">
                              <w:rPr>
                                <w:sz w:val="20"/>
                                <w:szCs w:val="20"/>
                              </w:rPr>
                              <w:t xml:space="preserve">Q20. </w:t>
                            </w:r>
                            <w:r w:rsidR="009834E4" w:rsidRPr="002C41C4">
                              <w:rPr>
                                <w:sz w:val="20"/>
                                <w:szCs w:val="20"/>
                              </w:rPr>
                              <w:t>This case was</w:t>
                            </w:r>
                            <w:r w:rsidR="0061794E">
                              <w:rPr>
                                <w:sz w:val="20"/>
                                <w:szCs w:val="20"/>
                              </w:rPr>
                              <w:t xml:space="preserve"> culture </w:t>
                            </w:r>
                            <w:r w:rsidR="009834E4" w:rsidRPr="002C41C4">
                              <w:rPr>
                                <w:sz w:val="20"/>
                                <w:szCs w:val="20"/>
                              </w:rPr>
                              <w:t>positive for</w:t>
                            </w:r>
                            <w:r w:rsidR="0014646C" w:rsidRPr="002C41C4">
                              <w:rPr>
                                <w:sz w:val="20"/>
                                <w:szCs w:val="20"/>
                              </w:rPr>
                              <w:t xml:space="preserve"> STEC</w:t>
                            </w:r>
                            <w:r w:rsidR="00244660" w:rsidRPr="002C41C4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F7A57">
                              <w:rPr>
                                <w:sz w:val="20"/>
                                <w:szCs w:val="20"/>
                              </w:rPr>
                              <w:t xml:space="preserve">serotype </w:t>
                            </w:r>
                            <w:r w:rsidR="0061794E">
                              <w:rPr>
                                <w:sz w:val="20"/>
                                <w:szCs w:val="20"/>
                              </w:rPr>
                              <w:t>O157:H7</w:t>
                            </w:r>
                            <w:r w:rsidR="00244660" w:rsidRPr="002C41C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D2F70" w:rsidRPr="002C41C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834E4" w:rsidRPr="009834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FCCD11" w14:textId="77777777" w:rsidR="00E26D2C" w:rsidRPr="00760107" w:rsidRDefault="00E26D2C" w:rsidP="005D47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2255D7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2255D7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14:paraId="6E53C324" w14:textId="6FD0B1CC" w:rsidR="0066016D" w:rsidRPr="00942C9D" w:rsidRDefault="0061794E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794E">
                              <w:rPr>
                                <w:sz w:val="20"/>
                                <w:szCs w:val="20"/>
                              </w:rPr>
                              <w:t>Thirteen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 xml:space="preserve"> of the 18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233" w:rsidRPr="0061794E">
                              <w:rPr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B04133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 w:rsidRPr="0061794E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 w:rsidR="00B044C2" w:rsidRPr="0061794E"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128</w:t>
                            </w:r>
                            <w:r w:rsidR="00D92EE3" w:rsidRPr="0061794E">
                              <w:rPr>
                                <w:sz w:val="20"/>
                                <w:szCs w:val="20"/>
                              </w:rPr>
                              <w:t>:H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60107" w:rsidRPr="0061794E">
                              <w:rPr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Pr="0061794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B04133" w:rsidRPr="006179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>. No point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>source outbreaks were identified</w:t>
                            </w:r>
                            <w:r w:rsidR="00D90AC2" w:rsidRPr="0061794E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DF58A4" w:rsidRPr="0061794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90AC2" w:rsidRPr="0061794E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="009834E4" w:rsidRPr="0061794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 w:rsidRPr="0061794E">
                              <w:rPr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0102D1" w:rsidRPr="0061794E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testing </w:t>
                            </w:r>
                            <w:r w:rsidR="009834E4" w:rsidRPr="0061794E">
                              <w:rPr>
                                <w:sz w:val="20"/>
                                <w:szCs w:val="20"/>
                              </w:rPr>
                              <w:t xml:space="preserve">of all faecal specimens 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 xml:space="preserve">by one private </w:t>
                            </w:r>
                            <w:r w:rsidR="00B90697" w:rsidRPr="0061794E">
                              <w:rPr>
                                <w:sz w:val="20"/>
                                <w:szCs w:val="20"/>
                              </w:rPr>
                              <w:t>laboratory</w:t>
                            </w:r>
                            <w:r w:rsidR="006414C7" w:rsidRPr="006179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 w:rsidRPr="0061794E">
                              <w:rPr>
                                <w:sz w:val="20"/>
                                <w:szCs w:val="20"/>
                              </w:rPr>
                              <w:t>since</w:t>
                            </w:r>
                            <w:r w:rsidR="00784309" w:rsidRPr="0061794E">
                              <w:rPr>
                                <w:sz w:val="20"/>
                                <w:szCs w:val="20"/>
                              </w:rPr>
                              <w:t xml:space="preserve"> the fourth quarter</w:t>
                            </w:r>
                            <w:r w:rsidR="006414C7" w:rsidRPr="0061794E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784309" w:rsidRPr="0061794E"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D47ED" w:rsidRPr="0061794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721E3D" w14:textId="77777777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EBBD7" w14:textId="77777777" w:rsidR="00ED02A8" w:rsidRDefault="00ED02A8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margin-left:-38.3pt;margin-top:-41.35pt;width:528.25pt;height:22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" fillcolor="#d7dded [671]" stroked="f">
                <v:fill opacity="32896f"/>
                <v:textbox>
                  <w:txbxContent>
                    <w:p w14:paraId="77A417FF" w14:textId="3B0039DC" w:rsidR="009C4DFF" w:rsidRPr="008D2F70" w:rsidRDefault="009C4DFF" w:rsidP="009C4DFF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C</w:t>
                      </w:r>
                      <w:r w:rsidR="0014646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OVID-19 impact on enteric disease notifications</w:t>
                      </w:r>
                    </w:p>
                    <w:p w14:paraId="583E3BE9" w14:textId="01B4788B" w:rsidR="003C1946" w:rsidRPr="009A7D15" w:rsidRDefault="00264633" w:rsidP="008975CB">
                      <w:pPr>
                        <w:rPr>
                          <w:sz w:val="20"/>
                          <w:szCs w:val="20"/>
                        </w:rPr>
                      </w:pPr>
                      <w:r w:rsidRPr="009A7D15">
                        <w:rPr>
                          <w:sz w:val="20"/>
                          <w:szCs w:val="20"/>
                        </w:rPr>
                        <w:t>Based on 2Q20 data presented above the number of notifications for 12 out of the 16 notifiable enteric diseases decreased compared to the five</w:t>
                      </w:r>
                      <w:r w:rsidR="00DF58A4" w:rsidRPr="009A7D15">
                        <w:rPr>
                          <w:sz w:val="20"/>
                          <w:szCs w:val="20"/>
                        </w:rPr>
                        <w:t>-</w:t>
                      </w:r>
                      <w:r w:rsidRPr="009A7D15">
                        <w:rPr>
                          <w:sz w:val="20"/>
                          <w:szCs w:val="20"/>
                        </w:rPr>
                        <w:t xml:space="preserve">year </w:t>
                      </w:r>
                      <w:r w:rsidR="00DF58A4" w:rsidRPr="009A7D15">
                        <w:rPr>
                          <w:sz w:val="20"/>
                          <w:szCs w:val="20"/>
                        </w:rPr>
                        <w:t>mean</w:t>
                      </w:r>
                      <w:r w:rsidRPr="009A7D15">
                        <w:rPr>
                          <w:sz w:val="20"/>
                          <w:szCs w:val="20"/>
                        </w:rPr>
                        <w:t xml:space="preserve"> for this quarter.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>Several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 changes in March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>because of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 the COVID-19 pandemic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 xml:space="preserve">likely </w:t>
                      </w:r>
                      <w:r w:rsidR="003C1946" w:rsidRPr="009A7D15">
                        <w:rPr>
                          <w:sz w:val="20"/>
                          <w:szCs w:val="20"/>
                        </w:rPr>
                        <w:t xml:space="preserve">contributed to the decrease which 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>includ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>ed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>a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 ban on </w:t>
                      </w:r>
                      <w:r w:rsidR="003C1946" w:rsidRPr="009A7D15">
                        <w:rPr>
                          <w:sz w:val="20"/>
                          <w:szCs w:val="20"/>
                        </w:rPr>
                        <w:t xml:space="preserve">international 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travel, limits on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>size of gatherings, venue closures including swimming pools and restaurants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>, increased handwashing</w:t>
                      </w:r>
                      <w:r w:rsidR="00554DF8" w:rsidRPr="009A7D15">
                        <w:rPr>
                          <w:sz w:val="20"/>
                          <w:szCs w:val="20"/>
                        </w:rPr>
                        <w:t xml:space="preserve"> as well as other social distancing measures</w:t>
                      </w:r>
                      <w:r w:rsidR="003C1946" w:rsidRPr="009A7D15">
                        <w:rPr>
                          <w:sz w:val="20"/>
                          <w:szCs w:val="20"/>
                        </w:rPr>
                        <w:t>.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 xml:space="preserve"> The decrease </w:t>
                      </w:r>
                      <w:r w:rsidRPr="009A7D15">
                        <w:rPr>
                          <w:sz w:val="20"/>
                          <w:szCs w:val="20"/>
                        </w:rPr>
                        <w:t xml:space="preserve">may also be due to a reduction in the number of individuals being tested for enteric diseases. Data from pathology clinics </w:t>
                      </w:r>
                      <w:r w:rsidR="0069342F" w:rsidRPr="009A7D15">
                        <w:rPr>
                          <w:sz w:val="20"/>
                          <w:szCs w:val="20"/>
                        </w:rPr>
                        <w:t xml:space="preserve">in WA </w:t>
                      </w:r>
                      <w:r w:rsidR="009A7D15" w:rsidRPr="009A7D15">
                        <w:rPr>
                          <w:sz w:val="20"/>
                          <w:szCs w:val="20"/>
                        </w:rPr>
                        <w:t xml:space="preserve">recorded a </w:t>
                      </w:r>
                      <w:r w:rsidRPr="009A7D15">
                        <w:rPr>
                          <w:sz w:val="20"/>
                          <w:szCs w:val="20"/>
                        </w:rPr>
                        <w:t xml:space="preserve">lower number of </w:t>
                      </w:r>
                      <w:r w:rsidR="009A7D15" w:rsidRPr="009A7D15">
                        <w:rPr>
                          <w:sz w:val="20"/>
                          <w:szCs w:val="20"/>
                        </w:rPr>
                        <w:t xml:space="preserve">faecal </w:t>
                      </w:r>
                      <w:r w:rsidRPr="009A7D15">
                        <w:rPr>
                          <w:sz w:val="20"/>
                          <w:szCs w:val="20"/>
                        </w:rPr>
                        <w:t xml:space="preserve">specimens </w:t>
                      </w:r>
                      <w:r w:rsidR="009A7D15" w:rsidRPr="009A7D15">
                        <w:rPr>
                          <w:sz w:val="20"/>
                          <w:szCs w:val="20"/>
                        </w:rPr>
                        <w:t xml:space="preserve">tested from April </w:t>
                      </w:r>
                      <w:r w:rsidRPr="009A7D15">
                        <w:rPr>
                          <w:sz w:val="20"/>
                          <w:szCs w:val="20"/>
                        </w:rPr>
                        <w:t>2020 compared to 2019.</w:t>
                      </w:r>
                    </w:p>
                    <w:p w14:paraId="55670C79" w14:textId="77777777" w:rsidR="008D2F70" w:rsidRPr="008D2F70" w:rsidRDefault="008D2F70" w:rsidP="008D2F70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Haemolytic uraemic syndrome</w:t>
                      </w:r>
                      <w:r w:rsidR="00E60B40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 (HUS)</w:t>
                      </w:r>
                    </w:p>
                    <w:p w14:paraId="6D56620F" w14:textId="4C94F4D0" w:rsidR="008D2F70" w:rsidRPr="00ED02A8" w:rsidRDefault="00E60B40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9834E4">
                        <w:rPr>
                          <w:sz w:val="20"/>
                          <w:szCs w:val="20"/>
                        </w:rPr>
                        <w:t>One HUS case was</w:t>
                      </w:r>
                      <w:r w:rsidR="008D2F70" w:rsidRPr="009834E4">
                        <w:rPr>
                          <w:sz w:val="20"/>
                          <w:szCs w:val="20"/>
                        </w:rPr>
                        <w:t xml:space="preserve"> notified in </w:t>
                      </w:r>
                      <w:r w:rsidR="0014646C" w:rsidRPr="002C41C4">
                        <w:rPr>
                          <w:sz w:val="20"/>
                          <w:szCs w:val="20"/>
                        </w:rPr>
                        <w:t>2</w:t>
                      </w:r>
                      <w:r w:rsidRPr="002C41C4">
                        <w:rPr>
                          <w:sz w:val="20"/>
                          <w:szCs w:val="20"/>
                        </w:rPr>
                        <w:t xml:space="preserve">Q20. </w:t>
                      </w:r>
                      <w:r w:rsidR="009834E4" w:rsidRPr="002C41C4">
                        <w:rPr>
                          <w:sz w:val="20"/>
                          <w:szCs w:val="20"/>
                        </w:rPr>
                        <w:t>This case was</w:t>
                      </w:r>
                      <w:r w:rsidR="0061794E">
                        <w:rPr>
                          <w:sz w:val="20"/>
                          <w:szCs w:val="20"/>
                        </w:rPr>
                        <w:t xml:space="preserve"> culture </w:t>
                      </w:r>
                      <w:r w:rsidR="009834E4" w:rsidRPr="002C41C4">
                        <w:rPr>
                          <w:sz w:val="20"/>
                          <w:szCs w:val="20"/>
                        </w:rPr>
                        <w:t>positive for</w:t>
                      </w:r>
                      <w:r w:rsidR="0014646C" w:rsidRPr="002C41C4">
                        <w:rPr>
                          <w:sz w:val="20"/>
                          <w:szCs w:val="20"/>
                        </w:rPr>
                        <w:t xml:space="preserve"> STEC</w:t>
                      </w:r>
                      <w:r w:rsidR="00244660" w:rsidRPr="002C41C4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5F7A57">
                        <w:rPr>
                          <w:sz w:val="20"/>
                          <w:szCs w:val="20"/>
                        </w:rPr>
                        <w:t xml:space="preserve">serotype </w:t>
                      </w:r>
                      <w:r w:rsidR="0061794E">
                        <w:rPr>
                          <w:sz w:val="20"/>
                          <w:szCs w:val="20"/>
                        </w:rPr>
                        <w:t>O157:H7</w:t>
                      </w:r>
                      <w:r w:rsidR="00244660" w:rsidRPr="002C41C4">
                        <w:rPr>
                          <w:sz w:val="20"/>
                          <w:szCs w:val="20"/>
                        </w:rPr>
                        <w:t>)</w:t>
                      </w:r>
                      <w:r w:rsidR="008D2F70" w:rsidRPr="002C41C4">
                        <w:rPr>
                          <w:sz w:val="20"/>
                          <w:szCs w:val="20"/>
                        </w:rPr>
                        <w:t>.</w:t>
                      </w:r>
                      <w:r w:rsidR="009834E4" w:rsidRPr="009834E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FCCD11" w14:textId="7777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2255D7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2255D7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14:paraId="6E53C324" w14:textId="6FD0B1CC" w:rsidR="0066016D" w:rsidRPr="00942C9D" w:rsidRDefault="0061794E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61794E">
                        <w:rPr>
                          <w:sz w:val="20"/>
                          <w:szCs w:val="20"/>
                        </w:rPr>
                        <w:t>Thirteen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 xml:space="preserve"> of the 18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5233" w:rsidRPr="0061794E">
                        <w:rPr>
                          <w:sz w:val="20"/>
                          <w:szCs w:val="20"/>
                        </w:rPr>
                        <w:t>notifications were culture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>positive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>, the mos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>t common serotype</w:t>
                      </w:r>
                      <w:r w:rsidR="00B04133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4C2" w:rsidRPr="0061794E">
                        <w:rPr>
                          <w:sz w:val="20"/>
                          <w:szCs w:val="20"/>
                        </w:rPr>
                        <w:t>w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as</w:t>
                      </w:r>
                      <w:r w:rsidR="00B044C2" w:rsidRPr="0061794E"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128</w:t>
                      </w:r>
                      <w:r w:rsidR="00D92EE3" w:rsidRPr="0061794E">
                        <w:rPr>
                          <w:sz w:val="20"/>
                          <w:szCs w:val="20"/>
                        </w:rPr>
                        <w:t>:H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2</w:t>
                      </w:r>
                      <w:r w:rsidR="00760107" w:rsidRPr="0061794E">
                        <w:rPr>
                          <w:sz w:val="20"/>
                          <w:szCs w:val="20"/>
                        </w:rPr>
                        <w:t xml:space="preserve"> (n=</w:t>
                      </w:r>
                      <w:r w:rsidRPr="0061794E">
                        <w:rPr>
                          <w:sz w:val="20"/>
                          <w:szCs w:val="20"/>
                        </w:rPr>
                        <w:t>4</w:t>
                      </w:r>
                      <w:r w:rsidR="00B04133" w:rsidRPr="0061794E">
                        <w:rPr>
                          <w:sz w:val="20"/>
                          <w:szCs w:val="20"/>
                        </w:rPr>
                        <w:t>)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>. No point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-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>source outbreaks were identified</w:t>
                      </w:r>
                      <w:r w:rsidR="00D90AC2" w:rsidRPr="0061794E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="00DF58A4" w:rsidRPr="0061794E">
                        <w:rPr>
                          <w:sz w:val="20"/>
                          <w:szCs w:val="20"/>
                        </w:rPr>
                        <w:t>2</w:t>
                      </w:r>
                      <w:r w:rsidR="00D90AC2" w:rsidRPr="0061794E">
                        <w:rPr>
                          <w:sz w:val="20"/>
                          <w:szCs w:val="20"/>
                        </w:rPr>
                        <w:t>Q</w:t>
                      </w:r>
                      <w:r w:rsidR="009834E4" w:rsidRPr="0061794E">
                        <w:rPr>
                          <w:sz w:val="20"/>
                          <w:szCs w:val="20"/>
                        </w:rPr>
                        <w:t>20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4309" w:rsidRPr="0061794E">
                        <w:rPr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increase is likely due </w:t>
                      </w:r>
                      <w:r w:rsidR="000102D1" w:rsidRPr="0061794E">
                        <w:rPr>
                          <w:sz w:val="20"/>
                          <w:szCs w:val="20"/>
                        </w:rPr>
                        <w:t>to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 xml:space="preserve">PCR 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testing </w:t>
                      </w:r>
                      <w:r w:rsidR="009834E4" w:rsidRPr="0061794E">
                        <w:rPr>
                          <w:sz w:val="20"/>
                          <w:szCs w:val="20"/>
                        </w:rPr>
                        <w:t xml:space="preserve">of all faecal specimens 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 xml:space="preserve">by one private </w:t>
                      </w:r>
                      <w:r w:rsidR="00B90697" w:rsidRPr="0061794E">
                        <w:rPr>
                          <w:sz w:val="20"/>
                          <w:szCs w:val="20"/>
                        </w:rPr>
                        <w:t>laboratory</w:t>
                      </w:r>
                      <w:r w:rsidR="006414C7" w:rsidRPr="006179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 w:rsidRPr="0061794E">
                        <w:rPr>
                          <w:sz w:val="20"/>
                          <w:szCs w:val="20"/>
                        </w:rPr>
                        <w:t>since</w:t>
                      </w:r>
                      <w:r w:rsidR="00784309" w:rsidRPr="0061794E">
                        <w:rPr>
                          <w:sz w:val="20"/>
                          <w:szCs w:val="20"/>
                        </w:rPr>
                        <w:t xml:space="preserve"> the fourth quarter</w:t>
                      </w:r>
                      <w:r w:rsidR="006414C7" w:rsidRPr="0061794E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784309" w:rsidRPr="0061794E">
                        <w:rPr>
                          <w:sz w:val="20"/>
                          <w:szCs w:val="20"/>
                        </w:rPr>
                        <w:t xml:space="preserve"> 2018</w:t>
                      </w:r>
                      <w:r w:rsidR="005D47ED" w:rsidRPr="0061794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E721E3D" w14:textId="77777777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FEBBD7" w14:textId="77777777" w:rsidR="00ED02A8" w:rsidRDefault="00ED02A8" w:rsidP="005D47E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187DA" w14:textId="77777777" w:rsidR="00DB0727" w:rsidRPr="00DB0727" w:rsidRDefault="00DB0727" w:rsidP="00DB0727"/>
    <w:p w14:paraId="3A157283" w14:textId="77777777" w:rsidR="00DB0727" w:rsidRDefault="00DB0727" w:rsidP="00DB0727"/>
    <w:p w14:paraId="63D6EDE5" w14:textId="77777777" w:rsidR="00D173B1" w:rsidRPr="00DB0727" w:rsidRDefault="00D173B1" w:rsidP="00DB0727"/>
    <w:p w14:paraId="47715005" w14:textId="77777777" w:rsidR="00DB0727" w:rsidRPr="00DB0727" w:rsidRDefault="00DB0727" w:rsidP="00DB0727"/>
    <w:p w14:paraId="6117A3E2" w14:textId="77777777" w:rsidR="00DB0727" w:rsidRPr="00DB0727" w:rsidRDefault="00DB0727" w:rsidP="00DB0727"/>
    <w:p w14:paraId="62F70DA9" w14:textId="77777777" w:rsidR="00DB0727" w:rsidRPr="00DB0727" w:rsidRDefault="00DB0727" w:rsidP="00DB0727"/>
    <w:p w14:paraId="3AD3F033" w14:textId="77777777" w:rsidR="00DB0727" w:rsidRPr="00DB0727" w:rsidRDefault="00DB0727" w:rsidP="00DB0727"/>
    <w:p w14:paraId="6FB2AC44" w14:textId="77777777" w:rsidR="00DB0727" w:rsidRPr="00DB0727" w:rsidRDefault="00DB0727" w:rsidP="00DB0727"/>
    <w:p w14:paraId="3487A171" w14:textId="77777777" w:rsidR="00DB0727" w:rsidRPr="00DB0727" w:rsidRDefault="00DB0727" w:rsidP="00DB0727"/>
    <w:p w14:paraId="524945E4" w14:textId="77777777" w:rsidR="00DB0727" w:rsidRPr="00DB0727" w:rsidRDefault="00DB0727" w:rsidP="00DB0727"/>
    <w:p w14:paraId="600B0D80" w14:textId="77777777" w:rsidR="00DB0727" w:rsidRPr="00DB0727" w:rsidRDefault="00DB0727" w:rsidP="00DB0727"/>
    <w:p w14:paraId="2311C0E4" w14:textId="77777777" w:rsidR="00DB0727" w:rsidRPr="00DB0727" w:rsidRDefault="00DB0727" w:rsidP="00DB0727"/>
    <w:p w14:paraId="7B21B90D" w14:textId="77777777" w:rsidR="00DB0727" w:rsidRPr="00DB0727" w:rsidRDefault="00DB0727" w:rsidP="00DB0727"/>
    <w:p w14:paraId="57C519D6" w14:textId="77777777" w:rsidR="00DB0727" w:rsidRDefault="00DB0727" w:rsidP="00DB0727"/>
    <w:p w14:paraId="3F7D1928" w14:textId="77777777" w:rsidR="00B0277F" w:rsidRDefault="00B0277F" w:rsidP="00DB0727"/>
    <w:p w14:paraId="3D3AFB62" w14:textId="77777777" w:rsidR="00B0277F" w:rsidRDefault="00B0277F" w:rsidP="00DB0727"/>
    <w:p w14:paraId="1ACAAF01" w14:textId="77777777" w:rsidR="00B0277F" w:rsidRPr="00DB0727" w:rsidRDefault="00B0277F" w:rsidP="00DB0727"/>
    <w:p w14:paraId="6CA86904" w14:textId="77777777" w:rsidR="00DB0727" w:rsidRPr="00DB0727" w:rsidRDefault="00DB0727" w:rsidP="00DB0727"/>
    <w:p w14:paraId="13D1AC60" w14:textId="77777777" w:rsidR="00DB0727" w:rsidRPr="00DB0727" w:rsidRDefault="00DB0727" w:rsidP="00DB0727"/>
    <w:p w14:paraId="6DCEA455" w14:textId="77777777" w:rsidR="00DB0727" w:rsidRPr="00DB0727" w:rsidRDefault="00DB0727" w:rsidP="00DB0727"/>
    <w:p w14:paraId="2B833955" w14:textId="77777777" w:rsidR="00DB0727" w:rsidRPr="00DB0727" w:rsidRDefault="00DB0727" w:rsidP="00DB0727"/>
    <w:p w14:paraId="643B2D72" w14:textId="77777777" w:rsidR="00DB0727" w:rsidRPr="00DB0727" w:rsidRDefault="00DB0727" w:rsidP="00DB0727"/>
    <w:p w14:paraId="4D4B57C3" w14:textId="77777777" w:rsidR="00DB0727" w:rsidRPr="00DB0727" w:rsidRDefault="00DB0727" w:rsidP="00DB0727"/>
    <w:p w14:paraId="5E72BC83" w14:textId="77777777" w:rsidR="00DB0727" w:rsidRPr="00DB0727" w:rsidRDefault="00DB0727" w:rsidP="00DB0727"/>
    <w:p w14:paraId="72B6E446" w14:textId="77777777" w:rsidR="00DB0727" w:rsidRPr="00DB0727" w:rsidRDefault="00DB0727" w:rsidP="00DB0727"/>
    <w:p w14:paraId="6D6046D7" w14:textId="77777777" w:rsidR="00DB0727" w:rsidRDefault="00DB0727" w:rsidP="00DB0727"/>
    <w:p w14:paraId="218A9839" w14:textId="77777777" w:rsidR="00DB0727" w:rsidRDefault="00DB0727" w:rsidP="00DB0727"/>
    <w:p w14:paraId="5CFE8EC2" w14:textId="77777777" w:rsidR="005D47ED" w:rsidRPr="00DB0727" w:rsidRDefault="00DB0727" w:rsidP="00DB0727">
      <w:pPr>
        <w:tabs>
          <w:tab w:val="left" w:pos="1753"/>
        </w:tabs>
      </w:pPr>
      <w:r>
        <w:tab/>
      </w: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87AB" w14:textId="77777777" w:rsidR="00F16266" w:rsidRDefault="00F16266" w:rsidP="00F16266">
      <w:pPr>
        <w:spacing w:after="0"/>
      </w:pPr>
      <w:r>
        <w:separator/>
      </w:r>
    </w:p>
  </w:endnote>
  <w:endnote w:type="continuationSeparator" w:id="0">
    <w:p w14:paraId="5C3669F7" w14:textId="77777777" w:rsidR="00F16266" w:rsidRDefault="00F1626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AE23" w14:textId="77777777" w:rsidR="00F16266" w:rsidRDefault="00F16266" w:rsidP="00F16266">
      <w:pPr>
        <w:spacing w:after="0"/>
      </w:pPr>
      <w:r>
        <w:separator/>
      </w:r>
    </w:p>
  </w:footnote>
  <w:footnote w:type="continuationSeparator" w:id="0">
    <w:p w14:paraId="6E650084" w14:textId="77777777" w:rsidR="00F16266" w:rsidRDefault="00F1626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F0"/>
    <w:rsid w:val="000102D1"/>
    <w:rsid w:val="00070BEF"/>
    <w:rsid w:val="00090F48"/>
    <w:rsid w:val="0009316F"/>
    <w:rsid w:val="000A14BB"/>
    <w:rsid w:val="000D2CB1"/>
    <w:rsid w:val="0012565F"/>
    <w:rsid w:val="0014114D"/>
    <w:rsid w:val="001437E0"/>
    <w:rsid w:val="00143F9C"/>
    <w:rsid w:val="00145A4C"/>
    <w:rsid w:val="0014646C"/>
    <w:rsid w:val="00171B7B"/>
    <w:rsid w:val="00171EAF"/>
    <w:rsid w:val="00193081"/>
    <w:rsid w:val="001B7A2B"/>
    <w:rsid w:val="001C6153"/>
    <w:rsid w:val="001C7D1F"/>
    <w:rsid w:val="001E1034"/>
    <w:rsid w:val="001F6030"/>
    <w:rsid w:val="001F68E9"/>
    <w:rsid w:val="00220E8F"/>
    <w:rsid w:val="002255D7"/>
    <w:rsid w:val="00230C04"/>
    <w:rsid w:val="00240211"/>
    <w:rsid w:val="0024249E"/>
    <w:rsid w:val="00243C14"/>
    <w:rsid w:val="00244660"/>
    <w:rsid w:val="00256108"/>
    <w:rsid w:val="00261678"/>
    <w:rsid w:val="00264633"/>
    <w:rsid w:val="00276AC9"/>
    <w:rsid w:val="002848B3"/>
    <w:rsid w:val="002856CA"/>
    <w:rsid w:val="00286B46"/>
    <w:rsid w:val="002A1586"/>
    <w:rsid w:val="002C41C4"/>
    <w:rsid w:val="002C7D7D"/>
    <w:rsid w:val="002D5423"/>
    <w:rsid w:val="002E49F5"/>
    <w:rsid w:val="002F24A7"/>
    <w:rsid w:val="00311B5E"/>
    <w:rsid w:val="00316213"/>
    <w:rsid w:val="003352B9"/>
    <w:rsid w:val="00355004"/>
    <w:rsid w:val="003929E7"/>
    <w:rsid w:val="003C1946"/>
    <w:rsid w:val="0041266A"/>
    <w:rsid w:val="004175D4"/>
    <w:rsid w:val="004230AE"/>
    <w:rsid w:val="004276EA"/>
    <w:rsid w:val="0044132B"/>
    <w:rsid w:val="004453BF"/>
    <w:rsid w:val="00447A73"/>
    <w:rsid w:val="004659B0"/>
    <w:rsid w:val="00466DB9"/>
    <w:rsid w:val="00471692"/>
    <w:rsid w:val="00490481"/>
    <w:rsid w:val="00492250"/>
    <w:rsid w:val="00493FBA"/>
    <w:rsid w:val="004A609E"/>
    <w:rsid w:val="004C104B"/>
    <w:rsid w:val="004C2780"/>
    <w:rsid w:val="004C6976"/>
    <w:rsid w:val="00507189"/>
    <w:rsid w:val="005077EF"/>
    <w:rsid w:val="00554DF8"/>
    <w:rsid w:val="0056716B"/>
    <w:rsid w:val="005A3015"/>
    <w:rsid w:val="005A409E"/>
    <w:rsid w:val="005D00F4"/>
    <w:rsid w:val="005D47ED"/>
    <w:rsid w:val="005F7A57"/>
    <w:rsid w:val="00600F2C"/>
    <w:rsid w:val="00601483"/>
    <w:rsid w:val="0061606C"/>
    <w:rsid w:val="0061794E"/>
    <w:rsid w:val="00627EBE"/>
    <w:rsid w:val="00630370"/>
    <w:rsid w:val="0064090A"/>
    <w:rsid w:val="006414C7"/>
    <w:rsid w:val="00641DA6"/>
    <w:rsid w:val="006441F7"/>
    <w:rsid w:val="0064799B"/>
    <w:rsid w:val="0066016D"/>
    <w:rsid w:val="0069342F"/>
    <w:rsid w:val="006E46C4"/>
    <w:rsid w:val="006F36F0"/>
    <w:rsid w:val="006F52D0"/>
    <w:rsid w:val="00712477"/>
    <w:rsid w:val="00732A7B"/>
    <w:rsid w:val="0073680C"/>
    <w:rsid w:val="007548BA"/>
    <w:rsid w:val="00760107"/>
    <w:rsid w:val="0077027C"/>
    <w:rsid w:val="00784309"/>
    <w:rsid w:val="007A4E48"/>
    <w:rsid w:val="007B47D8"/>
    <w:rsid w:val="007D7512"/>
    <w:rsid w:val="007D793C"/>
    <w:rsid w:val="007F410D"/>
    <w:rsid w:val="00802EC3"/>
    <w:rsid w:val="008449C2"/>
    <w:rsid w:val="0087065F"/>
    <w:rsid w:val="00881846"/>
    <w:rsid w:val="008975CB"/>
    <w:rsid w:val="00897837"/>
    <w:rsid w:val="008979F5"/>
    <w:rsid w:val="008A1656"/>
    <w:rsid w:val="008B0432"/>
    <w:rsid w:val="008C56B7"/>
    <w:rsid w:val="008D2F70"/>
    <w:rsid w:val="008F7FE4"/>
    <w:rsid w:val="0090046F"/>
    <w:rsid w:val="0090693F"/>
    <w:rsid w:val="00923EA3"/>
    <w:rsid w:val="00926467"/>
    <w:rsid w:val="00930DF8"/>
    <w:rsid w:val="00931BD5"/>
    <w:rsid w:val="009342F3"/>
    <w:rsid w:val="00937EBD"/>
    <w:rsid w:val="00942C9D"/>
    <w:rsid w:val="00956876"/>
    <w:rsid w:val="009668ED"/>
    <w:rsid w:val="00967444"/>
    <w:rsid w:val="009678CC"/>
    <w:rsid w:val="00981DA1"/>
    <w:rsid w:val="009834E4"/>
    <w:rsid w:val="00984F8D"/>
    <w:rsid w:val="00990D6C"/>
    <w:rsid w:val="00995323"/>
    <w:rsid w:val="009A7D15"/>
    <w:rsid w:val="009B36C8"/>
    <w:rsid w:val="009C0445"/>
    <w:rsid w:val="009C4DAD"/>
    <w:rsid w:val="009C4DFF"/>
    <w:rsid w:val="009D1723"/>
    <w:rsid w:val="009F648B"/>
    <w:rsid w:val="00A45954"/>
    <w:rsid w:val="00A54379"/>
    <w:rsid w:val="00A55B71"/>
    <w:rsid w:val="00A6066D"/>
    <w:rsid w:val="00A85810"/>
    <w:rsid w:val="00A868F6"/>
    <w:rsid w:val="00A91C4C"/>
    <w:rsid w:val="00AA22A0"/>
    <w:rsid w:val="00AA663C"/>
    <w:rsid w:val="00AB4670"/>
    <w:rsid w:val="00AC2225"/>
    <w:rsid w:val="00AD53B6"/>
    <w:rsid w:val="00AF5B58"/>
    <w:rsid w:val="00B0277F"/>
    <w:rsid w:val="00B04133"/>
    <w:rsid w:val="00B044C2"/>
    <w:rsid w:val="00B15A8E"/>
    <w:rsid w:val="00B266CE"/>
    <w:rsid w:val="00B35461"/>
    <w:rsid w:val="00B533A7"/>
    <w:rsid w:val="00B62E68"/>
    <w:rsid w:val="00B81B87"/>
    <w:rsid w:val="00B822B0"/>
    <w:rsid w:val="00B85270"/>
    <w:rsid w:val="00B870A9"/>
    <w:rsid w:val="00B90697"/>
    <w:rsid w:val="00BB2332"/>
    <w:rsid w:val="00BB48D3"/>
    <w:rsid w:val="00BB5682"/>
    <w:rsid w:val="00BD41EB"/>
    <w:rsid w:val="00BE1F4C"/>
    <w:rsid w:val="00BE3C2D"/>
    <w:rsid w:val="00BE45C1"/>
    <w:rsid w:val="00BE50E9"/>
    <w:rsid w:val="00BF4F31"/>
    <w:rsid w:val="00C3024C"/>
    <w:rsid w:val="00C37C4B"/>
    <w:rsid w:val="00C47BA2"/>
    <w:rsid w:val="00C53645"/>
    <w:rsid w:val="00C6252C"/>
    <w:rsid w:val="00C7143D"/>
    <w:rsid w:val="00C862D8"/>
    <w:rsid w:val="00C94695"/>
    <w:rsid w:val="00C95233"/>
    <w:rsid w:val="00CC4DE6"/>
    <w:rsid w:val="00CF64E2"/>
    <w:rsid w:val="00D034A9"/>
    <w:rsid w:val="00D050EF"/>
    <w:rsid w:val="00D147D4"/>
    <w:rsid w:val="00D173B1"/>
    <w:rsid w:val="00D514D4"/>
    <w:rsid w:val="00D54D2E"/>
    <w:rsid w:val="00D723C4"/>
    <w:rsid w:val="00D90AC2"/>
    <w:rsid w:val="00D92EE3"/>
    <w:rsid w:val="00D9301F"/>
    <w:rsid w:val="00DB0727"/>
    <w:rsid w:val="00DC7646"/>
    <w:rsid w:val="00DE4BFE"/>
    <w:rsid w:val="00DE7A17"/>
    <w:rsid w:val="00DF58A4"/>
    <w:rsid w:val="00E065B7"/>
    <w:rsid w:val="00E26BEA"/>
    <w:rsid w:val="00E26D2C"/>
    <w:rsid w:val="00E40563"/>
    <w:rsid w:val="00E47483"/>
    <w:rsid w:val="00E60B40"/>
    <w:rsid w:val="00E705C8"/>
    <w:rsid w:val="00E7296E"/>
    <w:rsid w:val="00E82708"/>
    <w:rsid w:val="00E842C2"/>
    <w:rsid w:val="00E8491C"/>
    <w:rsid w:val="00EB6ED6"/>
    <w:rsid w:val="00ED02A8"/>
    <w:rsid w:val="00ED5CC5"/>
    <w:rsid w:val="00EE1546"/>
    <w:rsid w:val="00EE383C"/>
    <w:rsid w:val="00EE6AEC"/>
    <w:rsid w:val="00F16266"/>
    <w:rsid w:val="00F25D18"/>
    <w:rsid w:val="00F51AF5"/>
    <w:rsid w:val="00F67E7B"/>
    <w:rsid w:val="00FB1467"/>
    <w:rsid w:val="00FB2D91"/>
    <w:rsid w:val="00FB7719"/>
    <w:rsid w:val="00FB777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3CDFE6"/>
  <w15:docId w15:val="{3D5CB51F-2D7A-4FFA-BF52-E56E76F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2.health.wa.gov.au/-/media/Corp/Documents/Health-for/Infectious-disease/OZfoodnet/Word/WA-OzFoodnet-appendix1-2020-Q2.docx" TargetMode="Externa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-/media/Corp/Documents/Health-for/Infectious-disease/OZfoodnet/Word/WA-OzFoodnet-appendix1-2020-Q2.docx" TargetMode="External"/><Relationship Id="rId17" Type="http://schemas.openxmlformats.org/officeDocument/2006/relationships/hyperlink" Target="https://ww2.health.wa.gov.au/-/media/Corp/Documents/Health-for/Infectious-disease/OZfoodnet/Word/WA-OzFoodnet-appendix2-2020-Q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2.health.wa.gov.au/-/media/Corp/Documents/Health-for/Infectious-disease/OZfoodnet/Word/WA-OzFoodnet-appendix2-2020-Q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16CE-E599-41F2-A308-CB7B64DD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Witham, Benjamin</dc:creator>
  <cp:lastModifiedBy>Witham, Benjamin</cp:lastModifiedBy>
  <cp:revision>2</cp:revision>
  <dcterms:created xsi:type="dcterms:W3CDTF">2020-11-19T02:19:00Z</dcterms:created>
  <dcterms:modified xsi:type="dcterms:W3CDTF">2020-11-19T02:19:00Z</dcterms:modified>
</cp:coreProperties>
</file>