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CDA10" w14:textId="6677FA58" w:rsidR="00054EF7" w:rsidRDefault="0059638A" w:rsidP="00584BE6">
      <w:pPr>
        <w:pStyle w:val="Headlines"/>
      </w:pPr>
      <w:r>
        <w:rPr>
          <w:noProof/>
          <w:lang w:eastAsia="en-AU"/>
        </w:rPr>
        <mc:AlternateContent>
          <mc:Choice Requires="wps">
            <w:drawing>
              <wp:anchor distT="0" distB="0" distL="114300" distR="114300" simplePos="0" relativeHeight="251659264" behindDoc="0" locked="0" layoutInCell="1" allowOverlap="1" wp14:anchorId="5336F978" wp14:editId="5336F979">
                <wp:simplePos x="0" y="0"/>
                <wp:positionH relativeFrom="page">
                  <wp:posOffset>450215</wp:posOffset>
                </wp:positionH>
                <wp:positionV relativeFrom="page">
                  <wp:posOffset>504190</wp:posOffset>
                </wp:positionV>
                <wp:extent cx="3060000" cy="720000"/>
                <wp:effectExtent l="0" t="0" r="762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720000"/>
                        </a:xfrm>
                        <a:prstGeom prst="rect">
                          <a:avLst/>
                        </a:prstGeom>
                        <a:solidFill>
                          <a:srgbClr val="FFFFFF"/>
                        </a:solidFill>
                        <a:ln w="9525">
                          <a:noFill/>
                          <a:miter lim="800000"/>
                          <a:headEnd/>
                          <a:tailEnd/>
                        </a:ln>
                      </wps:spPr>
                      <wps:txbx>
                        <w:txbxContent>
                          <w:p w14:paraId="5336F988" w14:textId="77777777" w:rsidR="0059638A" w:rsidRDefault="0059638A">
                            <w:r>
                              <w:rPr>
                                <w:noProof/>
                                <w:lang w:eastAsia="en-AU"/>
                              </w:rPr>
                              <w:drawing>
                                <wp:inline distT="0" distB="0" distL="0" distR="0" wp14:anchorId="5336F989" wp14:editId="5336F98A">
                                  <wp:extent cx="2854800" cy="525600"/>
                                  <wp:effectExtent l="0" t="0" r="3175" b="8255"/>
                                  <wp:docPr id="2" name="Picture 2"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4800" cy="5256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36F978" id="_x0000_t202" coordsize="21600,21600" o:spt="202" path="m,l,21600r21600,l21600,xe">
                <v:stroke joinstyle="miter"/>
                <v:path gradientshapeok="t" o:connecttype="rect"/>
              </v:shapetype>
              <v:shape id="Text Box 2" o:spid="_x0000_s1026" type="#_x0000_t202" style="position:absolute;left:0;text-align:left;margin-left:35.45pt;margin-top:39.7pt;width:240.95pt;height:5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" stroked="f">
                <v:textbox>
                  <w:txbxContent>
                    <w:p w14:paraId="5336F988" w14:textId="77777777" w:rsidR="0059638A" w:rsidRDefault="0059638A">
                      <w:r>
                        <w:rPr>
                          <w:noProof/>
                          <w:lang w:eastAsia="en-AU"/>
                        </w:rPr>
                        <w:drawing>
                          <wp:inline distT="0" distB="0" distL="0" distR="0" wp14:anchorId="5336F989" wp14:editId="5336F98A">
                            <wp:extent cx="2854800" cy="525600"/>
                            <wp:effectExtent l="0" t="0" r="3175" b="8255"/>
                            <wp:docPr id="2" name="Picture 2"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54800" cy="525600"/>
                                    </a:xfrm>
                                    <a:prstGeom prst="rect">
                                      <a:avLst/>
                                    </a:prstGeom>
                                  </pic:spPr>
                                </pic:pic>
                              </a:graphicData>
                            </a:graphic>
                          </wp:inline>
                        </w:drawing>
                      </w:r>
                    </w:p>
                  </w:txbxContent>
                </v:textbox>
                <w10:wrap anchorx="page" anchory="page"/>
              </v:shape>
            </w:pict>
          </mc:Fallback>
        </mc:AlternateContent>
      </w:r>
      <w:r w:rsidR="00054EF7">
        <w:t xml:space="preserve">Hepatitis </w:t>
      </w:r>
      <w:r w:rsidR="00525E69">
        <w:t>C</w:t>
      </w:r>
      <w:r w:rsidR="00054EF7">
        <w:t xml:space="preserve"> </w:t>
      </w:r>
      <w:r w:rsidR="00525E69">
        <w:t>t</w:t>
      </w:r>
      <w:r w:rsidR="00054EF7">
        <w:t xml:space="preserve">reatment </w:t>
      </w:r>
      <w:r w:rsidR="00525E69">
        <w:t>u</w:t>
      </w:r>
      <w:r w:rsidR="00054EF7">
        <w:t>ptake in WA</w:t>
      </w:r>
    </w:p>
    <w:p w14:paraId="5336F95C" w14:textId="289E2034" w:rsidR="00B3718F" w:rsidRPr="00054EF7" w:rsidRDefault="00233D5C" w:rsidP="00584BE6">
      <w:pPr>
        <w:pStyle w:val="Headlines"/>
        <w:rPr>
          <w:sz w:val="52"/>
          <w:szCs w:val="52"/>
        </w:rPr>
        <w:sectPr w:rsidR="00B3718F" w:rsidRPr="00054EF7" w:rsidSect="00E5742D">
          <w:headerReference w:type="default" r:id="rId13"/>
          <w:footerReference w:type="default" r:id="rId14"/>
          <w:pgSz w:w="11906" w:h="16838"/>
          <w:pgMar w:top="4395" w:right="688" w:bottom="851" w:left="851" w:header="709" w:footer="441" w:gutter="0"/>
          <w:cols w:space="708"/>
          <w:docGrid w:linePitch="360"/>
        </w:sectPr>
      </w:pPr>
      <w:r>
        <w:rPr>
          <w:sz w:val="52"/>
          <w:szCs w:val="52"/>
        </w:rPr>
        <w:t xml:space="preserve">Uptake of antiviral treatment </w:t>
      </w:r>
      <w:bookmarkStart w:id="0" w:name="_GoBack"/>
      <w:bookmarkEnd w:id="0"/>
      <w:r w:rsidR="00054EF7" w:rsidRPr="00054EF7">
        <w:rPr>
          <w:sz w:val="52"/>
          <w:szCs w:val="52"/>
        </w:rPr>
        <w:t xml:space="preserve">for </w:t>
      </w:r>
      <w:r w:rsidR="00525E69">
        <w:rPr>
          <w:sz w:val="52"/>
          <w:szCs w:val="52"/>
        </w:rPr>
        <w:t>c</w:t>
      </w:r>
      <w:r w:rsidR="00054EF7" w:rsidRPr="00054EF7">
        <w:rPr>
          <w:sz w:val="52"/>
          <w:szCs w:val="52"/>
        </w:rPr>
        <w:t xml:space="preserve">hronic </w:t>
      </w:r>
      <w:r w:rsidR="00525E69">
        <w:rPr>
          <w:sz w:val="52"/>
          <w:szCs w:val="52"/>
        </w:rPr>
        <w:t>h</w:t>
      </w:r>
      <w:r w:rsidR="00054EF7" w:rsidRPr="00054EF7">
        <w:rPr>
          <w:sz w:val="52"/>
          <w:szCs w:val="52"/>
        </w:rPr>
        <w:t xml:space="preserve">epatitis </w:t>
      </w:r>
      <w:r w:rsidR="00525E69">
        <w:rPr>
          <w:sz w:val="52"/>
          <w:szCs w:val="52"/>
        </w:rPr>
        <w:t>C</w:t>
      </w:r>
      <w:r w:rsidR="00054EF7" w:rsidRPr="00054EF7">
        <w:rPr>
          <w:sz w:val="52"/>
          <w:szCs w:val="52"/>
        </w:rPr>
        <w:t xml:space="preserve">, </w:t>
      </w:r>
      <w:r w:rsidR="00525E69">
        <w:rPr>
          <w:sz w:val="52"/>
          <w:szCs w:val="52"/>
        </w:rPr>
        <w:t xml:space="preserve">October </w:t>
      </w:r>
      <w:r w:rsidR="00054EF7" w:rsidRPr="00054EF7">
        <w:rPr>
          <w:sz w:val="52"/>
          <w:szCs w:val="52"/>
        </w:rPr>
        <w:t>2019</w:t>
      </w:r>
      <w:r w:rsidR="00525E69">
        <w:rPr>
          <w:sz w:val="52"/>
          <w:szCs w:val="52"/>
        </w:rPr>
        <w:t xml:space="preserve"> to March 2020</w:t>
      </w:r>
    </w:p>
    <w:p w14:paraId="6A425D9E" w14:textId="77777777" w:rsidR="00B01F2C" w:rsidRDefault="00B01F2C" w:rsidP="00B01F2C">
      <w:pPr>
        <w:pStyle w:val="Heading1"/>
      </w:pPr>
      <w:bookmarkStart w:id="1" w:name="_Toc57988921"/>
      <w:bookmarkStart w:id="2" w:name="_Toc57988974"/>
      <w:bookmarkStart w:id="3" w:name="_Toc60839102"/>
      <w:r>
        <w:lastRenderedPageBreak/>
        <w:t>Acknowledgements</w:t>
      </w:r>
      <w:bookmarkEnd w:id="1"/>
      <w:bookmarkEnd w:id="2"/>
      <w:bookmarkEnd w:id="3"/>
    </w:p>
    <w:p w14:paraId="0F0E5B55" w14:textId="5D1AEC36" w:rsidR="00B01F2C" w:rsidRDefault="00B01F2C" w:rsidP="00B01F2C">
      <w:pPr>
        <w:ind w:right="283"/>
      </w:pPr>
      <w:r w:rsidRPr="00D61193">
        <w:t xml:space="preserve">We would like to thank the Pharmaceutical Benefits Scheme for providing the treatment data; Nasir Wabe and Heather-Marie Schmidt (NSW Ministry of Health), Tania Gavidia, </w:t>
      </w:r>
      <w:r w:rsidR="00D61193" w:rsidRPr="00D61193">
        <w:t xml:space="preserve">and </w:t>
      </w:r>
      <w:r w:rsidRPr="00D61193">
        <w:t>Alex Xiao (Epidemiology Branch, Department of Health, Western Australia) for their assistance in producing the data presented in this report.</w:t>
      </w:r>
    </w:p>
    <w:p w14:paraId="34D272B1" w14:textId="77777777" w:rsidR="00B01F2C" w:rsidRDefault="00B01F2C" w:rsidP="00B01F2C">
      <w:pPr>
        <w:ind w:right="283"/>
      </w:pPr>
    </w:p>
    <w:p w14:paraId="0886CD97" w14:textId="77777777" w:rsidR="00B01F2C" w:rsidRDefault="00B01F2C" w:rsidP="00B01F2C">
      <w:pPr>
        <w:pStyle w:val="Heading1"/>
      </w:pPr>
      <w:bookmarkStart w:id="4" w:name="_Toc57988922"/>
      <w:bookmarkStart w:id="5" w:name="_Toc57988975"/>
      <w:bookmarkStart w:id="6" w:name="_Toc60839103"/>
      <w:r>
        <w:t>Contributors/Editors</w:t>
      </w:r>
      <w:bookmarkEnd w:id="4"/>
      <w:bookmarkEnd w:id="5"/>
      <w:bookmarkEnd w:id="6"/>
    </w:p>
    <w:p w14:paraId="3689D2CD" w14:textId="77777777" w:rsidR="00B01F2C" w:rsidRDefault="00B01F2C" w:rsidP="00B01F2C">
      <w:pPr>
        <w:ind w:right="283"/>
      </w:pPr>
      <w:r w:rsidRPr="009170AF">
        <w:t>Kellie Mitchell, Donna Mak, Lisa Bastian, Carolien Giele and Jude Bevan</w:t>
      </w:r>
    </w:p>
    <w:p w14:paraId="6068DE1C" w14:textId="77777777" w:rsidR="00B01F2C" w:rsidRDefault="00B01F2C" w:rsidP="00B01F2C">
      <w:pPr>
        <w:ind w:right="283"/>
      </w:pPr>
    </w:p>
    <w:p w14:paraId="321DB7A2" w14:textId="77777777" w:rsidR="00B01F2C" w:rsidRDefault="00B01F2C" w:rsidP="00B01F2C">
      <w:pPr>
        <w:ind w:right="283"/>
      </w:pPr>
      <w:r>
        <w:t>Immunisation, Surveillance and Disease Control Program                                                                        Communicable Disease Control Directorate                                                                   Department of Health, Western Australia                                                                                    PO Box 8172                                                                                                                             Perth Business Centre                                                                                                         Western Australia 6849</w:t>
      </w:r>
    </w:p>
    <w:p w14:paraId="391A8510" w14:textId="77777777" w:rsidR="00B01F2C" w:rsidRDefault="00B01F2C" w:rsidP="00B01F2C">
      <w:pPr>
        <w:ind w:right="283"/>
      </w:pPr>
      <w:r>
        <w:t>Telephone:</w:t>
      </w:r>
      <w:r>
        <w:tab/>
        <w:t>(08) 9222 0255</w:t>
      </w:r>
    </w:p>
    <w:p w14:paraId="496F8E07" w14:textId="77777777" w:rsidR="00B01F2C" w:rsidRDefault="00B01F2C" w:rsidP="00B01F2C">
      <w:pPr>
        <w:ind w:right="283"/>
      </w:pPr>
      <w:r>
        <w:t>Facsimile:</w:t>
      </w:r>
      <w:r>
        <w:tab/>
        <w:t>(08) 9222 0254</w:t>
      </w:r>
    </w:p>
    <w:p w14:paraId="57A88CDD" w14:textId="77777777" w:rsidR="00B01F2C" w:rsidRDefault="00B01F2C" w:rsidP="00B01F2C">
      <w:pPr>
        <w:ind w:right="283"/>
      </w:pPr>
      <w:r>
        <w:t>Web:</w:t>
      </w:r>
      <w:r>
        <w:tab/>
        <w:t>ww2.health.wa.gov.au</w:t>
      </w:r>
    </w:p>
    <w:p w14:paraId="7830F0D2" w14:textId="77777777" w:rsidR="00B01F2C" w:rsidRDefault="00B01F2C" w:rsidP="00B01F2C">
      <w:pPr>
        <w:ind w:right="283"/>
      </w:pPr>
    </w:p>
    <w:p w14:paraId="08938FC5" w14:textId="77777777" w:rsidR="00B01F2C" w:rsidRDefault="00B01F2C" w:rsidP="00B01F2C">
      <w:pPr>
        <w:pStyle w:val="Heading1"/>
      </w:pPr>
      <w:bookmarkStart w:id="7" w:name="_Toc57988923"/>
      <w:bookmarkStart w:id="8" w:name="_Toc57988976"/>
      <w:bookmarkStart w:id="9" w:name="_Toc60839104"/>
      <w:r>
        <w:t>Disclaimer</w:t>
      </w:r>
      <w:bookmarkEnd w:id="7"/>
      <w:bookmarkEnd w:id="8"/>
      <w:bookmarkEnd w:id="9"/>
    </w:p>
    <w:p w14:paraId="1FFF2633" w14:textId="77777777" w:rsidR="00B01F2C" w:rsidRDefault="00B01F2C" w:rsidP="00B01F2C">
      <w:pPr>
        <w:ind w:right="283"/>
      </w:pPr>
      <w:r>
        <w:t>Every endeavour has been made to ensure that the information provided in this document was accurate at the time of writing. However, infectious disease testing and notifications data are continuously updated and subject to change. As no formal statistical testing has been conducted, some caution should be taken in interpreting differences and trends in this report.</w:t>
      </w:r>
    </w:p>
    <w:p w14:paraId="1A693DC2" w14:textId="77777777" w:rsidR="00B01F2C" w:rsidRDefault="00B01F2C" w:rsidP="00B01F2C">
      <w:pPr>
        <w:ind w:right="283"/>
      </w:pPr>
      <w:r>
        <w:t>Copyright to this material is vested in the State of Western Australia unless otherwise indicated. Apart from any fair dealing for the purposes of private study, research, criticism or review, as permitted under the provisions of the Copyright Act 1968, no part may be reproduced or re-used for any purposes whatsoever without written permission of the State of Western Australia.</w:t>
      </w:r>
    </w:p>
    <w:p w14:paraId="5272FD0A" w14:textId="77777777" w:rsidR="00B01F2C" w:rsidRDefault="00B01F2C" w:rsidP="00B01F2C">
      <w:pPr>
        <w:ind w:right="283"/>
      </w:pPr>
    </w:p>
    <w:p w14:paraId="20624000" w14:textId="77777777" w:rsidR="00B01F2C" w:rsidRDefault="00B01F2C" w:rsidP="00B01F2C">
      <w:pPr>
        <w:pStyle w:val="Heading1"/>
      </w:pPr>
      <w:bookmarkStart w:id="10" w:name="_Toc57988924"/>
      <w:bookmarkStart w:id="11" w:name="_Toc57988977"/>
      <w:bookmarkStart w:id="12" w:name="_Toc60839105"/>
      <w:r>
        <w:t>Published by</w:t>
      </w:r>
      <w:bookmarkEnd w:id="10"/>
      <w:bookmarkEnd w:id="11"/>
      <w:bookmarkEnd w:id="12"/>
      <w:r>
        <w:t xml:space="preserve"> </w:t>
      </w:r>
    </w:p>
    <w:p w14:paraId="743E11E5" w14:textId="77777777" w:rsidR="00B01F2C" w:rsidRDefault="00B01F2C" w:rsidP="00B01F2C">
      <w:pPr>
        <w:ind w:right="283"/>
      </w:pPr>
      <w:r w:rsidRPr="00561F2A">
        <w:t>This publication has been produced by the Department of Health, Western Australia.</w:t>
      </w:r>
    </w:p>
    <w:p w14:paraId="24FBC85D" w14:textId="77777777" w:rsidR="00B01F2C" w:rsidRDefault="00B01F2C">
      <w:pPr>
        <w:spacing w:after="0"/>
        <w:rPr>
          <w:rFonts w:eastAsia="Times New Roman" w:cs="Arial"/>
          <w:b/>
          <w:bCs/>
          <w:color w:val="095489" w:themeColor="accent1"/>
          <w:sz w:val="30"/>
          <w:szCs w:val="28"/>
          <w:lang w:eastAsia="ja-JP"/>
        </w:rPr>
      </w:pPr>
      <w:r>
        <w:br w:type="page"/>
      </w:r>
    </w:p>
    <w:p w14:paraId="5336F95D" w14:textId="277740C0" w:rsidR="0064686E" w:rsidRDefault="0064686E">
      <w:pPr>
        <w:pStyle w:val="TOCHeading"/>
      </w:pPr>
      <w:r w:rsidRPr="00C62955">
        <w:lastRenderedPageBreak/>
        <w:t>Contents</w:t>
      </w:r>
    </w:p>
    <w:bookmarkStart w:id="13" w:name="_Hlk60839098"/>
    <w:p w14:paraId="39E787EA" w14:textId="1334182F" w:rsidR="00DE654A" w:rsidRDefault="0064686E">
      <w:pPr>
        <w:pStyle w:val="TOC1"/>
        <w:rPr>
          <w:rFonts w:asciiTheme="minorHAnsi" w:eastAsiaTheme="minorEastAsia" w:hAnsiTheme="minorHAnsi" w:cstheme="minorBidi"/>
          <w:sz w:val="22"/>
          <w:lang w:eastAsia="en-AU"/>
        </w:rPr>
      </w:pPr>
      <w:r>
        <w:fldChar w:fldCharType="begin"/>
      </w:r>
      <w:r>
        <w:instrText xml:space="preserve"> TOC \o "1-3" \h \z \u </w:instrText>
      </w:r>
      <w:r>
        <w:fldChar w:fldCharType="separate"/>
      </w:r>
      <w:hyperlink w:anchor="_Toc60839106" w:history="1">
        <w:r w:rsidR="00DE654A" w:rsidRPr="00204854">
          <w:rPr>
            <w:rStyle w:val="Hyperlink"/>
          </w:rPr>
          <w:t>Key points</w:t>
        </w:r>
        <w:r w:rsidR="00DE654A">
          <w:rPr>
            <w:webHidden/>
          </w:rPr>
          <w:tab/>
        </w:r>
        <w:r w:rsidR="00DE654A">
          <w:rPr>
            <w:webHidden/>
          </w:rPr>
          <w:fldChar w:fldCharType="begin"/>
        </w:r>
        <w:r w:rsidR="00DE654A">
          <w:rPr>
            <w:webHidden/>
          </w:rPr>
          <w:instrText xml:space="preserve"> PAGEREF _Toc60839106 \h </w:instrText>
        </w:r>
        <w:r w:rsidR="00DE654A">
          <w:rPr>
            <w:webHidden/>
          </w:rPr>
        </w:r>
        <w:r w:rsidR="00DE654A">
          <w:rPr>
            <w:webHidden/>
          </w:rPr>
          <w:fldChar w:fldCharType="separate"/>
        </w:r>
        <w:r w:rsidR="00C62955">
          <w:rPr>
            <w:webHidden/>
          </w:rPr>
          <w:t>3</w:t>
        </w:r>
        <w:r w:rsidR="00DE654A">
          <w:rPr>
            <w:webHidden/>
          </w:rPr>
          <w:fldChar w:fldCharType="end"/>
        </w:r>
      </w:hyperlink>
    </w:p>
    <w:p w14:paraId="0255FC85" w14:textId="51C78965" w:rsidR="00DE654A" w:rsidRDefault="00233D5C">
      <w:pPr>
        <w:pStyle w:val="TOC1"/>
        <w:rPr>
          <w:rFonts w:asciiTheme="minorHAnsi" w:eastAsiaTheme="minorEastAsia" w:hAnsiTheme="minorHAnsi" w:cstheme="minorBidi"/>
          <w:sz w:val="22"/>
          <w:lang w:eastAsia="en-AU"/>
        </w:rPr>
      </w:pPr>
      <w:hyperlink w:anchor="_Toc60839107" w:history="1">
        <w:r w:rsidR="00DE654A" w:rsidRPr="00204854">
          <w:rPr>
            <w:rStyle w:val="Hyperlink"/>
          </w:rPr>
          <w:t>Executive summary</w:t>
        </w:r>
        <w:r w:rsidR="00DE654A">
          <w:rPr>
            <w:webHidden/>
          </w:rPr>
          <w:tab/>
        </w:r>
        <w:r w:rsidR="00DE654A">
          <w:rPr>
            <w:webHidden/>
          </w:rPr>
          <w:fldChar w:fldCharType="begin"/>
        </w:r>
        <w:r w:rsidR="00DE654A">
          <w:rPr>
            <w:webHidden/>
          </w:rPr>
          <w:instrText xml:space="preserve"> PAGEREF _Toc60839107 \h </w:instrText>
        </w:r>
        <w:r w:rsidR="00DE654A">
          <w:rPr>
            <w:webHidden/>
          </w:rPr>
        </w:r>
        <w:r w:rsidR="00DE654A">
          <w:rPr>
            <w:webHidden/>
          </w:rPr>
          <w:fldChar w:fldCharType="separate"/>
        </w:r>
        <w:r w:rsidR="00C62955">
          <w:rPr>
            <w:webHidden/>
          </w:rPr>
          <w:t>4</w:t>
        </w:r>
        <w:r w:rsidR="00DE654A">
          <w:rPr>
            <w:webHidden/>
          </w:rPr>
          <w:fldChar w:fldCharType="end"/>
        </w:r>
      </w:hyperlink>
    </w:p>
    <w:p w14:paraId="37C52BFF" w14:textId="571EE01D" w:rsidR="00DE654A" w:rsidRDefault="00233D5C">
      <w:pPr>
        <w:pStyle w:val="TOC1"/>
        <w:rPr>
          <w:rFonts w:asciiTheme="minorHAnsi" w:eastAsiaTheme="minorEastAsia" w:hAnsiTheme="minorHAnsi" w:cstheme="minorBidi"/>
          <w:sz w:val="22"/>
          <w:lang w:eastAsia="en-AU"/>
        </w:rPr>
      </w:pPr>
      <w:hyperlink w:anchor="_Toc60839108" w:history="1">
        <w:r w:rsidR="00DE654A" w:rsidRPr="00204854">
          <w:rPr>
            <w:rStyle w:val="Hyperlink"/>
          </w:rPr>
          <w:t>Abbreviations</w:t>
        </w:r>
        <w:r w:rsidR="00DE654A">
          <w:rPr>
            <w:webHidden/>
          </w:rPr>
          <w:tab/>
        </w:r>
        <w:r w:rsidR="00DE654A">
          <w:rPr>
            <w:webHidden/>
          </w:rPr>
          <w:fldChar w:fldCharType="begin"/>
        </w:r>
        <w:r w:rsidR="00DE654A">
          <w:rPr>
            <w:webHidden/>
          </w:rPr>
          <w:instrText xml:space="preserve"> PAGEREF _Toc60839108 \h </w:instrText>
        </w:r>
        <w:r w:rsidR="00DE654A">
          <w:rPr>
            <w:webHidden/>
          </w:rPr>
        </w:r>
        <w:r w:rsidR="00DE654A">
          <w:rPr>
            <w:webHidden/>
          </w:rPr>
          <w:fldChar w:fldCharType="separate"/>
        </w:r>
        <w:r w:rsidR="00C62955">
          <w:rPr>
            <w:webHidden/>
          </w:rPr>
          <w:t>5</w:t>
        </w:r>
        <w:r w:rsidR="00DE654A">
          <w:rPr>
            <w:webHidden/>
          </w:rPr>
          <w:fldChar w:fldCharType="end"/>
        </w:r>
      </w:hyperlink>
    </w:p>
    <w:p w14:paraId="22359987" w14:textId="523029DB" w:rsidR="00DE654A" w:rsidRDefault="00233D5C">
      <w:pPr>
        <w:pStyle w:val="TOC1"/>
        <w:rPr>
          <w:rFonts w:asciiTheme="minorHAnsi" w:eastAsiaTheme="minorEastAsia" w:hAnsiTheme="minorHAnsi" w:cstheme="minorBidi"/>
          <w:sz w:val="22"/>
          <w:lang w:eastAsia="en-AU"/>
        </w:rPr>
      </w:pPr>
      <w:hyperlink w:anchor="_Toc60839109" w:history="1">
        <w:r w:rsidR="00DE654A" w:rsidRPr="00204854">
          <w:rPr>
            <w:rStyle w:val="Hyperlink"/>
          </w:rPr>
          <w:t>Introduction and aims</w:t>
        </w:r>
        <w:r w:rsidR="00DE654A">
          <w:rPr>
            <w:webHidden/>
          </w:rPr>
          <w:tab/>
        </w:r>
        <w:r w:rsidR="00DE654A">
          <w:rPr>
            <w:webHidden/>
          </w:rPr>
          <w:fldChar w:fldCharType="begin"/>
        </w:r>
        <w:r w:rsidR="00DE654A">
          <w:rPr>
            <w:webHidden/>
          </w:rPr>
          <w:instrText xml:space="preserve"> PAGEREF _Toc60839109 \h </w:instrText>
        </w:r>
        <w:r w:rsidR="00DE654A">
          <w:rPr>
            <w:webHidden/>
          </w:rPr>
        </w:r>
        <w:r w:rsidR="00DE654A">
          <w:rPr>
            <w:webHidden/>
          </w:rPr>
          <w:fldChar w:fldCharType="separate"/>
        </w:r>
        <w:r w:rsidR="00C62955">
          <w:rPr>
            <w:webHidden/>
          </w:rPr>
          <w:t>6</w:t>
        </w:r>
        <w:r w:rsidR="00DE654A">
          <w:rPr>
            <w:webHidden/>
          </w:rPr>
          <w:fldChar w:fldCharType="end"/>
        </w:r>
      </w:hyperlink>
    </w:p>
    <w:p w14:paraId="6F69ABFE" w14:textId="6E0537EA" w:rsidR="00DE654A" w:rsidRDefault="00233D5C">
      <w:pPr>
        <w:pStyle w:val="TOC1"/>
        <w:rPr>
          <w:rFonts w:asciiTheme="minorHAnsi" w:eastAsiaTheme="minorEastAsia" w:hAnsiTheme="minorHAnsi" w:cstheme="minorBidi"/>
          <w:sz w:val="22"/>
          <w:lang w:eastAsia="en-AU"/>
        </w:rPr>
      </w:pPr>
      <w:hyperlink w:anchor="_Toc60839111" w:history="1">
        <w:r w:rsidR="00DE654A" w:rsidRPr="00204854">
          <w:rPr>
            <w:rStyle w:val="Hyperlink"/>
          </w:rPr>
          <w:t>Results</w:t>
        </w:r>
        <w:r w:rsidR="00DE654A">
          <w:rPr>
            <w:webHidden/>
          </w:rPr>
          <w:tab/>
        </w:r>
        <w:r w:rsidR="00DE654A">
          <w:rPr>
            <w:webHidden/>
          </w:rPr>
          <w:fldChar w:fldCharType="begin"/>
        </w:r>
        <w:r w:rsidR="00DE654A">
          <w:rPr>
            <w:webHidden/>
          </w:rPr>
          <w:instrText xml:space="preserve"> PAGEREF _Toc60839111 \h </w:instrText>
        </w:r>
        <w:r w:rsidR="00DE654A">
          <w:rPr>
            <w:webHidden/>
          </w:rPr>
        </w:r>
        <w:r w:rsidR="00DE654A">
          <w:rPr>
            <w:webHidden/>
          </w:rPr>
          <w:fldChar w:fldCharType="separate"/>
        </w:r>
        <w:r w:rsidR="00C62955">
          <w:rPr>
            <w:webHidden/>
          </w:rPr>
          <w:t>7</w:t>
        </w:r>
        <w:r w:rsidR="00DE654A">
          <w:rPr>
            <w:webHidden/>
          </w:rPr>
          <w:fldChar w:fldCharType="end"/>
        </w:r>
      </w:hyperlink>
    </w:p>
    <w:p w14:paraId="43F82A15" w14:textId="6273C8FC" w:rsidR="00DE654A" w:rsidRDefault="00233D5C">
      <w:pPr>
        <w:pStyle w:val="TOC2"/>
        <w:rPr>
          <w:rFonts w:asciiTheme="minorHAnsi" w:eastAsiaTheme="minorEastAsia" w:hAnsiTheme="minorHAnsi" w:cstheme="minorBidi"/>
          <w:noProof/>
          <w:sz w:val="22"/>
          <w:lang w:eastAsia="en-AU"/>
        </w:rPr>
      </w:pPr>
      <w:hyperlink w:anchor="_Toc60839112" w:history="1">
        <w:r w:rsidR="00DE654A" w:rsidRPr="00204854">
          <w:rPr>
            <w:rStyle w:val="Hyperlink"/>
            <w:noProof/>
          </w:rPr>
          <w:t>DAA treatment uptake by patient demographics</w:t>
        </w:r>
        <w:r w:rsidR="00DE654A">
          <w:rPr>
            <w:noProof/>
            <w:webHidden/>
          </w:rPr>
          <w:tab/>
        </w:r>
        <w:r w:rsidR="00DE654A">
          <w:rPr>
            <w:noProof/>
            <w:webHidden/>
          </w:rPr>
          <w:fldChar w:fldCharType="begin"/>
        </w:r>
        <w:r w:rsidR="00DE654A">
          <w:rPr>
            <w:noProof/>
            <w:webHidden/>
          </w:rPr>
          <w:instrText xml:space="preserve"> PAGEREF _Toc60839112 \h </w:instrText>
        </w:r>
        <w:r w:rsidR="00DE654A">
          <w:rPr>
            <w:noProof/>
            <w:webHidden/>
          </w:rPr>
        </w:r>
        <w:r w:rsidR="00DE654A">
          <w:rPr>
            <w:noProof/>
            <w:webHidden/>
          </w:rPr>
          <w:fldChar w:fldCharType="separate"/>
        </w:r>
        <w:r w:rsidR="00C62955">
          <w:rPr>
            <w:noProof/>
            <w:webHidden/>
          </w:rPr>
          <w:t>7</w:t>
        </w:r>
        <w:r w:rsidR="00DE654A">
          <w:rPr>
            <w:noProof/>
            <w:webHidden/>
          </w:rPr>
          <w:fldChar w:fldCharType="end"/>
        </w:r>
      </w:hyperlink>
    </w:p>
    <w:p w14:paraId="22733661" w14:textId="00624CDF" w:rsidR="00DE654A" w:rsidRDefault="00233D5C">
      <w:pPr>
        <w:pStyle w:val="TOC2"/>
        <w:rPr>
          <w:rFonts w:asciiTheme="minorHAnsi" w:eastAsiaTheme="minorEastAsia" w:hAnsiTheme="minorHAnsi" w:cstheme="minorBidi"/>
          <w:noProof/>
          <w:sz w:val="22"/>
          <w:lang w:eastAsia="en-AU"/>
        </w:rPr>
      </w:pPr>
      <w:hyperlink w:anchor="_Toc60839113" w:history="1">
        <w:r w:rsidR="00DE654A" w:rsidRPr="00204854">
          <w:rPr>
            <w:rStyle w:val="Hyperlink"/>
            <w:noProof/>
          </w:rPr>
          <w:t>DAA treatment initiations by regimen and dispensing characteristics</w:t>
        </w:r>
        <w:r w:rsidR="00DE654A">
          <w:rPr>
            <w:noProof/>
            <w:webHidden/>
          </w:rPr>
          <w:tab/>
        </w:r>
        <w:r w:rsidR="00DE654A">
          <w:rPr>
            <w:noProof/>
            <w:webHidden/>
          </w:rPr>
          <w:fldChar w:fldCharType="begin"/>
        </w:r>
        <w:r w:rsidR="00DE654A">
          <w:rPr>
            <w:noProof/>
            <w:webHidden/>
          </w:rPr>
          <w:instrText xml:space="preserve"> PAGEREF _Toc60839113 \h </w:instrText>
        </w:r>
        <w:r w:rsidR="00DE654A">
          <w:rPr>
            <w:noProof/>
            <w:webHidden/>
          </w:rPr>
        </w:r>
        <w:r w:rsidR="00DE654A">
          <w:rPr>
            <w:noProof/>
            <w:webHidden/>
          </w:rPr>
          <w:fldChar w:fldCharType="separate"/>
        </w:r>
        <w:r w:rsidR="00C62955">
          <w:rPr>
            <w:noProof/>
            <w:webHidden/>
          </w:rPr>
          <w:t>14</w:t>
        </w:r>
        <w:r w:rsidR="00DE654A">
          <w:rPr>
            <w:noProof/>
            <w:webHidden/>
          </w:rPr>
          <w:fldChar w:fldCharType="end"/>
        </w:r>
      </w:hyperlink>
    </w:p>
    <w:p w14:paraId="38F9FD68" w14:textId="67D770FC" w:rsidR="00DE654A" w:rsidRDefault="00233D5C">
      <w:pPr>
        <w:pStyle w:val="TOC2"/>
        <w:rPr>
          <w:rFonts w:asciiTheme="minorHAnsi" w:eastAsiaTheme="minorEastAsia" w:hAnsiTheme="minorHAnsi" w:cstheme="minorBidi"/>
          <w:noProof/>
          <w:sz w:val="22"/>
          <w:lang w:eastAsia="en-AU"/>
        </w:rPr>
      </w:pPr>
      <w:hyperlink w:anchor="_Toc60839114" w:history="1">
        <w:r w:rsidR="00DE654A" w:rsidRPr="00204854">
          <w:rPr>
            <w:rStyle w:val="Hyperlink"/>
            <w:noProof/>
          </w:rPr>
          <w:t>DAA treatment initiations by prescriber characteristics</w:t>
        </w:r>
        <w:r w:rsidR="00DE654A">
          <w:rPr>
            <w:noProof/>
            <w:webHidden/>
          </w:rPr>
          <w:tab/>
        </w:r>
        <w:r w:rsidR="00DE654A">
          <w:rPr>
            <w:noProof/>
            <w:webHidden/>
          </w:rPr>
          <w:fldChar w:fldCharType="begin"/>
        </w:r>
        <w:r w:rsidR="00DE654A">
          <w:rPr>
            <w:noProof/>
            <w:webHidden/>
          </w:rPr>
          <w:instrText xml:space="preserve"> PAGEREF _Toc60839114 \h </w:instrText>
        </w:r>
        <w:r w:rsidR="00DE654A">
          <w:rPr>
            <w:noProof/>
            <w:webHidden/>
          </w:rPr>
        </w:r>
        <w:r w:rsidR="00DE654A">
          <w:rPr>
            <w:noProof/>
            <w:webHidden/>
          </w:rPr>
          <w:fldChar w:fldCharType="separate"/>
        </w:r>
        <w:r w:rsidR="00C62955">
          <w:rPr>
            <w:noProof/>
            <w:webHidden/>
          </w:rPr>
          <w:t>19</w:t>
        </w:r>
        <w:r w:rsidR="00DE654A">
          <w:rPr>
            <w:noProof/>
            <w:webHidden/>
          </w:rPr>
          <w:fldChar w:fldCharType="end"/>
        </w:r>
      </w:hyperlink>
    </w:p>
    <w:p w14:paraId="697B5446" w14:textId="29669550" w:rsidR="00DE654A" w:rsidRDefault="00233D5C">
      <w:pPr>
        <w:pStyle w:val="TOC1"/>
        <w:rPr>
          <w:rFonts w:asciiTheme="minorHAnsi" w:eastAsiaTheme="minorEastAsia" w:hAnsiTheme="minorHAnsi" w:cstheme="minorBidi"/>
          <w:sz w:val="22"/>
          <w:lang w:eastAsia="en-AU"/>
        </w:rPr>
      </w:pPr>
      <w:hyperlink w:anchor="_Toc60839115" w:history="1">
        <w:r w:rsidR="00DE654A" w:rsidRPr="00204854">
          <w:rPr>
            <w:rStyle w:val="Hyperlink"/>
          </w:rPr>
          <w:t>References</w:t>
        </w:r>
        <w:r w:rsidR="00DE654A">
          <w:rPr>
            <w:webHidden/>
          </w:rPr>
          <w:tab/>
        </w:r>
        <w:r w:rsidR="00DE654A">
          <w:rPr>
            <w:webHidden/>
          </w:rPr>
          <w:fldChar w:fldCharType="begin"/>
        </w:r>
        <w:r w:rsidR="00DE654A">
          <w:rPr>
            <w:webHidden/>
          </w:rPr>
          <w:instrText xml:space="preserve"> PAGEREF _Toc60839115 \h </w:instrText>
        </w:r>
        <w:r w:rsidR="00DE654A">
          <w:rPr>
            <w:webHidden/>
          </w:rPr>
        </w:r>
        <w:r w:rsidR="00DE654A">
          <w:rPr>
            <w:webHidden/>
          </w:rPr>
          <w:fldChar w:fldCharType="separate"/>
        </w:r>
        <w:r w:rsidR="00C62955">
          <w:rPr>
            <w:webHidden/>
          </w:rPr>
          <w:t>26</w:t>
        </w:r>
        <w:r w:rsidR="00DE654A">
          <w:rPr>
            <w:webHidden/>
          </w:rPr>
          <w:fldChar w:fldCharType="end"/>
        </w:r>
      </w:hyperlink>
    </w:p>
    <w:p w14:paraId="5336F960" w14:textId="46BBEC93" w:rsidR="0064686E" w:rsidRDefault="0064686E">
      <w:r>
        <w:rPr>
          <w:b/>
          <w:bCs/>
          <w:noProof/>
        </w:rPr>
        <w:fldChar w:fldCharType="end"/>
      </w:r>
      <w:bookmarkEnd w:id="13"/>
    </w:p>
    <w:p w14:paraId="04FA6D84" w14:textId="77777777" w:rsidR="005F205F" w:rsidRDefault="005F205F">
      <w:pPr>
        <w:spacing w:after="0"/>
        <w:rPr>
          <w:rFonts w:eastAsia="Times New Roman"/>
          <w:b/>
          <w:bCs/>
          <w:color w:val="095489" w:themeColor="accent1"/>
          <w:sz w:val="30"/>
          <w:szCs w:val="28"/>
        </w:rPr>
      </w:pPr>
      <w:r>
        <w:br w:type="page"/>
      </w:r>
    </w:p>
    <w:p w14:paraId="7D76445C" w14:textId="11F52789" w:rsidR="00720D2F" w:rsidRDefault="00720D2F" w:rsidP="00720D2F">
      <w:pPr>
        <w:pStyle w:val="Heading1"/>
      </w:pPr>
      <w:bookmarkStart w:id="14" w:name="_Toc60839106"/>
      <w:r>
        <w:lastRenderedPageBreak/>
        <w:t>Key points</w:t>
      </w:r>
      <w:bookmarkEnd w:id="14"/>
    </w:p>
    <w:p w14:paraId="379BE4E2" w14:textId="77777777" w:rsidR="00DE654A" w:rsidRDefault="00DE654A" w:rsidP="00DE654A">
      <w:pPr>
        <w:pStyle w:val="ListParagraph"/>
        <w:numPr>
          <w:ilvl w:val="0"/>
          <w:numId w:val="10"/>
        </w:numPr>
        <w:ind w:left="714" w:right="283" w:hanging="357"/>
      </w:pPr>
      <w:r>
        <w:t xml:space="preserve">On 1 March 2016, new </w:t>
      </w:r>
      <w:r w:rsidRPr="004D6A91">
        <w:t>direct acting antiviral (DAA) oral regimens were listed on the Pharmaceutical Benefits Scheme (PBS) for the treatment of chro</w:t>
      </w:r>
      <w:r>
        <w:t>nic hepatitis C virus infection (HCV).</w:t>
      </w:r>
    </w:p>
    <w:p w14:paraId="72A89022" w14:textId="77777777" w:rsidR="00DE654A" w:rsidRDefault="00DE654A" w:rsidP="00DE654A">
      <w:pPr>
        <w:pStyle w:val="ListParagraph"/>
        <w:ind w:left="714" w:right="283"/>
      </w:pPr>
    </w:p>
    <w:p w14:paraId="47AE66FB" w14:textId="77777777" w:rsidR="00DE654A" w:rsidRDefault="00DE654A" w:rsidP="00DE654A">
      <w:pPr>
        <w:pStyle w:val="ListParagraph"/>
        <w:numPr>
          <w:ilvl w:val="0"/>
          <w:numId w:val="10"/>
        </w:numPr>
        <w:ind w:left="714" w:right="283" w:hanging="357"/>
      </w:pPr>
      <w:r w:rsidRPr="004D6A91">
        <w:t>This report describe</w:t>
      </w:r>
      <w:r>
        <w:t>s</w:t>
      </w:r>
      <w:r w:rsidRPr="004D6A91">
        <w:t xml:space="preserve"> the number of </w:t>
      </w:r>
      <w:r w:rsidRPr="00F55A06">
        <w:t>WA residents</w:t>
      </w:r>
      <w:r>
        <w:t xml:space="preserve"> </w:t>
      </w:r>
      <w:r w:rsidRPr="004D6A91">
        <w:t>who initiated DAA treatment for chronic HCV</w:t>
      </w:r>
      <w:r>
        <w:t xml:space="preserve"> in the current reporting period (October 2019 to March 2020)</w:t>
      </w:r>
      <w:r w:rsidRPr="004D6A91">
        <w:t xml:space="preserve"> and compare</w:t>
      </w:r>
      <w:r>
        <w:t>s</w:t>
      </w:r>
      <w:r w:rsidRPr="004D6A91">
        <w:t xml:space="preserve"> </w:t>
      </w:r>
      <w:r>
        <w:t>these t</w:t>
      </w:r>
      <w:r w:rsidRPr="004D6A91">
        <w:t xml:space="preserve">rends to those found in the </w:t>
      </w:r>
      <w:r>
        <w:t>first reporting period (</w:t>
      </w:r>
      <w:r w:rsidRPr="004D6A91">
        <w:t xml:space="preserve">March </w:t>
      </w:r>
      <w:r>
        <w:t xml:space="preserve">2016 </w:t>
      </w:r>
      <w:r w:rsidRPr="004D6A91">
        <w:t>to September 2016</w:t>
      </w:r>
      <w:r>
        <w:t>).</w:t>
      </w:r>
    </w:p>
    <w:p w14:paraId="08B18421" w14:textId="77777777" w:rsidR="00DE654A" w:rsidRDefault="00DE654A" w:rsidP="00DE654A">
      <w:pPr>
        <w:pStyle w:val="ListParagraph"/>
        <w:ind w:right="283"/>
      </w:pPr>
    </w:p>
    <w:p w14:paraId="1D268A68" w14:textId="77777777" w:rsidR="00DE654A" w:rsidRDefault="00DE654A" w:rsidP="00DE654A">
      <w:pPr>
        <w:pStyle w:val="ListParagraph"/>
        <w:numPr>
          <w:ilvl w:val="0"/>
          <w:numId w:val="10"/>
        </w:numPr>
        <w:ind w:right="283"/>
      </w:pPr>
      <w:r>
        <w:t>A</w:t>
      </w:r>
      <w:r w:rsidRPr="000E1B7E">
        <w:t xml:space="preserve"> total of </w:t>
      </w:r>
      <w:r>
        <w:t>7,820</w:t>
      </w:r>
      <w:r w:rsidRPr="000E1B7E">
        <w:t xml:space="preserve"> residents, representing </w:t>
      </w:r>
      <w:r>
        <w:t>41.9</w:t>
      </w:r>
      <w:r w:rsidRPr="000E1B7E">
        <w:t>% of residents living with chronic HCV in WA, have initiated the new DAA treatment since it was introduced in March 2016</w:t>
      </w:r>
      <w:r>
        <w:t>.</w:t>
      </w:r>
    </w:p>
    <w:p w14:paraId="6A9875E5" w14:textId="77777777" w:rsidR="00DE654A" w:rsidRDefault="00DE654A" w:rsidP="00DE654A">
      <w:pPr>
        <w:pStyle w:val="ListParagraph"/>
        <w:ind w:right="283"/>
      </w:pPr>
    </w:p>
    <w:p w14:paraId="75EFC248" w14:textId="77777777" w:rsidR="00DE654A" w:rsidRDefault="00DE654A" w:rsidP="00DE654A">
      <w:pPr>
        <w:pStyle w:val="ListParagraph"/>
        <w:numPr>
          <w:ilvl w:val="0"/>
          <w:numId w:val="10"/>
        </w:numPr>
        <w:ind w:left="714" w:right="283" w:hanging="357"/>
      </w:pPr>
      <w:r>
        <w:t>The highest initiation rate was among males and those aged 40 to 59 years.</w:t>
      </w:r>
    </w:p>
    <w:p w14:paraId="09FD3A2C" w14:textId="77777777" w:rsidR="00DE654A" w:rsidRDefault="00DE654A" w:rsidP="00DE654A">
      <w:pPr>
        <w:pStyle w:val="ListParagraph"/>
        <w:ind w:right="283"/>
      </w:pPr>
    </w:p>
    <w:p w14:paraId="52AD60C2" w14:textId="77777777" w:rsidR="00DE654A" w:rsidRDefault="00DE654A" w:rsidP="00DE654A">
      <w:pPr>
        <w:pStyle w:val="ListParagraph"/>
        <w:numPr>
          <w:ilvl w:val="0"/>
          <w:numId w:val="10"/>
        </w:numPr>
        <w:ind w:left="714" w:right="283" w:hanging="357"/>
      </w:pPr>
      <w:r w:rsidRPr="004D6A91">
        <w:t xml:space="preserve">In most regions, </w:t>
      </w:r>
      <w:r>
        <w:t>high DAA treatment initiation rates were associated with historically high HCV notification rates.</w:t>
      </w:r>
    </w:p>
    <w:p w14:paraId="6065C3D9" w14:textId="77777777" w:rsidR="00DE654A" w:rsidRDefault="00DE654A" w:rsidP="00DE654A">
      <w:pPr>
        <w:pStyle w:val="ListParagraph"/>
        <w:ind w:right="283"/>
      </w:pPr>
    </w:p>
    <w:p w14:paraId="3B173FB6" w14:textId="77777777" w:rsidR="00DE654A" w:rsidRDefault="00DE654A" w:rsidP="00DE654A">
      <w:pPr>
        <w:pStyle w:val="ListParagraph"/>
        <w:numPr>
          <w:ilvl w:val="0"/>
          <w:numId w:val="10"/>
        </w:numPr>
        <w:ind w:right="283"/>
      </w:pPr>
      <w:r>
        <w:t>S</w:t>
      </w:r>
      <w:r w:rsidRPr="00DD37AA">
        <w:t>ofosbuvir + velpatasvir</w:t>
      </w:r>
      <w:r>
        <w:t xml:space="preserve"> and </w:t>
      </w:r>
      <w:r w:rsidRPr="00A26F42">
        <w:t>glecaprevir + pibrentasvir</w:t>
      </w:r>
      <w:r>
        <w:t xml:space="preserve"> were the most commonly prescribed DAA treatment regimens, following their listing on the PBS in August 2017 and August 2018, respectively.</w:t>
      </w:r>
    </w:p>
    <w:p w14:paraId="05F407D5" w14:textId="77777777" w:rsidR="00DE654A" w:rsidRDefault="00DE654A" w:rsidP="00DE654A">
      <w:pPr>
        <w:pStyle w:val="ListParagraph"/>
        <w:ind w:right="283"/>
      </w:pPr>
    </w:p>
    <w:p w14:paraId="7DDD1A44" w14:textId="77777777" w:rsidR="00DE654A" w:rsidRDefault="00DE654A" w:rsidP="00DE654A">
      <w:pPr>
        <w:pStyle w:val="ListParagraph"/>
        <w:numPr>
          <w:ilvl w:val="0"/>
          <w:numId w:val="10"/>
        </w:numPr>
        <w:ind w:left="714" w:right="283" w:hanging="357"/>
      </w:pPr>
      <w:r>
        <w:t xml:space="preserve">There was an increase in the proportion of residents </w:t>
      </w:r>
      <w:r w:rsidRPr="008C046A">
        <w:t>prescribed</w:t>
      </w:r>
      <w:r>
        <w:t xml:space="preserve"> DAA</w:t>
      </w:r>
      <w:r w:rsidRPr="008C046A">
        <w:t xml:space="preserve"> treatment by a GP</w:t>
      </w:r>
      <w:r>
        <w:t>.</w:t>
      </w:r>
    </w:p>
    <w:p w14:paraId="2645A322" w14:textId="77777777" w:rsidR="00DE654A" w:rsidRDefault="00DE654A" w:rsidP="00DE654A">
      <w:pPr>
        <w:pStyle w:val="ListParagraph"/>
        <w:ind w:right="283"/>
      </w:pPr>
    </w:p>
    <w:p w14:paraId="58900FB7" w14:textId="77777777" w:rsidR="00DE654A" w:rsidRDefault="00DE654A" w:rsidP="00DE654A">
      <w:pPr>
        <w:pStyle w:val="ListParagraph"/>
        <w:numPr>
          <w:ilvl w:val="0"/>
          <w:numId w:val="10"/>
        </w:numPr>
        <w:ind w:left="714" w:right="283" w:hanging="357"/>
      </w:pPr>
      <w:r>
        <w:t>There was an increase in the proportion of residents who were dispensed treatment through the PBS General Schedule (‘Section 85’) and from community pharmacies.</w:t>
      </w:r>
    </w:p>
    <w:p w14:paraId="29B7BA72" w14:textId="77777777" w:rsidR="00DE654A" w:rsidRDefault="00DE654A" w:rsidP="00DE654A">
      <w:pPr>
        <w:pStyle w:val="ListParagraph"/>
        <w:ind w:right="283"/>
      </w:pPr>
    </w:p>
    <w:p w14:paraId="08786E86" w14:textId="77777777" w:rsidR="00DE654A" w:rsidRDefault="00DE654A" w:rsidP="00DE654A">
      <w:pPr>
        <w:pStyle w:val="ListParagraph"/>
        <w:numPr>
          <w:ilvl w:val="0"/>
          <w:numId w:val="10"/>
        </w:numPr>
        <w:ind w:left="714" w:right="283" w:hanging="357"/>
      </w:pPr>
      <w:r>
        <w:t>There was a 26% increase in the number of unique prescribers for DAA treatment in WA.</w:t>
      </w:r>
    </w:p>
    <w:p w14:paraId="0F34CC9F" w14:textId="77777777" w:rsidR="00DE654A" w:rsidRDefault="00DE654A" w:rsidP="00DE654A">
      <w:pPr>
        <w:pStyle w:val="ListParagraph"/>
        <w:ind w:right="283"/>
      </w:pPr>
    </w:p>
    <w:p w14:paraId="779A9D3D" w14:textId="77777777" w:rsidR="00DE654A" w:rsidRDefault="00DE654A" w:rsidP="00DE654A">
      <w:pPr>
        <w:pStyle w:val="ListParagraph"/>
        <w:numPr>
          <w:ilvl w:val="0"/>
          <w:numId w:val="10"/>
        </w:numPr>
        <w:ind w:left="714" w:right="283" w:hanging="357"/>
      </w:pPr>
      <w:r>
        <w:t>The majority of prescribers treated only one patient, but a higher proportion of specialists compared to GPs, treated ten or more patients.</w:t>
      </w:r>
    </w:p>
    <w:p w14:paraId="61C72336" w14:textId="03F8CE18" w:rsidR="00720D2F" w:rsidRDefault="00720D2F" w:rsidP="00863A06">
      <w:pPr>
        <w:pStyle w:val="Heading1"/>
      </w:pPr>
    </w:p>
    <w:p w14:paraId="689A76BB" w14:textId="77777777" w:rsidR="005F205F" w:rsidRDefault="005F205F">
      <w:pPr>
        <w:spacing w:after="0"/>
        <w:rPr>
          <w:rFonts w:eastAsia="Times New Roman"/>
          <w:b/>
          <w:bCs/>
          <w:color w:val="095489" w:themeColor="accent1"/>
          <w:sz w:val="30"/>
          <w:szCs w:val="28"/>
        </w:rPr>
      </w:pPr>
      <w:r>
        <w:br w:type="page"/>
      </w:r>
    </w:p>
    <w:p w14:paraId="5A02BD7E" w14:textId="16482404" w:rsidR="00720D2F" w:rsidRDefault="00720D2F" w:rsidP="00720D2F">
      <w:pPr>
        <w:pStyle w:val="Heading1"/>
      </w:pPr>
      <w:bookmarkStart w:id="15" w:name="_Toc60839107"/>
      <w:r>
        <w:lastRenderedPageBreak/>
        <w:t>Executive summary</w:t>
      </w:r>
      <w:bookmarkEnd w:id="15"/>
    </w:p>
    <w:p w14:paraId="6D46754B" w14:textId="4F35C0E4" w:rsidR="000A3AE6" w:rsidRPr="00023B4D" w:rsidRDefault="000A3AE6" w:rsidP="000A3AE6">
      <w:pPr>
        <w:rPr>
          <w:rFonts w:cs="Arial"/>
          <w:szCs w:val="24"/>
        </w:rPr>
      </w:pPr>
      <w:r w:rsidRPr="00023B4D">
        <w:rPr>
          <w:rFonts w:cs="Arial"/>
          <w:szCs w:val="24"/>
        </w:rPr>
        <w:t>On 1 March 2016, new direct acting antiviral (DAA) oral regimens were listed on the Pharmaceutical Benefits Scheme (PBS) for the treatment of chronic hepatitis C infection (HCV). The aim of this report is to describe the number of people in Western Australia (WA) who initiated DAA treatment for chronic HCV in the current reporting period from October 201</w:t>
      </w:r>
      <w:r>
        <w:rPr>
          <w:rFonts w:cs="Arial"/>
          <w:szCs w:val="24"/>
        </w:rPr>
        <w:t>9</w:t>
      </w:r>
      <w:r w:rsidRPr="00023B4D">
        <w:rPr>
          <w:rFonts w:cs="Arial"/>
          <w:szCs w:val="24"/>
        </w:rPr>
        <w:t xml:space="preserve"> to March 20</w:t>
      </w:r>
      <w:r>
        <w:rPr>
          <w:rFonts w:cs="Arial"/>
          <w:szCs w:val="24"/>
        </w:rPr>
        <w:t>20</w:t>
      </w:r>
      <w:r w:rsidRPr="00023B4D">
        <w:rPr>
          <w:rFonts w:cs="Arial"/>
          <w:szCs w:val="24"/>
        </w:rPr>
        <w:t xml:space="preserve"> by patient demographics, regimen, dispensing and prescriber characteristics, and to compare trends from this period to those found in the first reporting period from March </w:t>
      </w:r>
      <w:r w:rsidR="00DE654A">
        <w:rPr>
          <w:rFonts w:cs="Arial"/>
          <w:szCs w:val="24"/>
        </w:rPr>
        <w:t xml:space="preserve">2016 </w:t>
      </w:r>
      <w:r w:rsidRPr="00023B4D">
        <w:rPr>
          <w:rFonts w:cs="Arial"/>
          <w:szCs w:val="24"/>
        </w:rPr>
        <w:t>to September 2016.</w:t>
      </w:r>
    </w:p>
    <w:p w14:paraId="430EBD6F" w14:textId="77777777" w:rsidR="000A3AE6" w:rsidRPr="00023B4D" w:rsidRDefault="000A3AE6" w:rsidP="000A3AE6">
      <w:pPr>
        <w:rPr>
          <w:rFonts w:cs="Arial"/>
          <w:szCs w:val="24"/>
        </w:rPr>
      </w:pPr>
      <w:r w:rsidRPr="00023B4D">
        <w:rPr>
          <w:rFonts w:cs="Arial"/>
          <w:szCs w:val="24"/>
        </w:rPr>
        <w:t xml:space="preserve">A total of </w:t>
      </w:r>
      <w:r>
        <w:rPr>
          <w:rFonts w:cs="Arial"/>
          <w:szCs w:val="24"/>
        </w:rPr>
        <w:t>7</w:t>
      </w:r>
      <w:r w:rsidRPr="00023B4D">
        <w:rPr>
          <w:rFonts w:cs="Arial"/>
          <w:szCs w:val="24"/>
        </w:rPr>
        <w:t>,</w:t>
      </w:r>
      <w:r>
        <w:rPr>
          <w:rFonts w:cs="Arial"/>
          <w:szCs w:val="24"/>
        </w:rPr>
        <w:t>820</w:t>
      </w:r>
      <w:r w:rsidRPr="00023B4D">
        <w:rPr>
          <w:rFonts w:cs="Arial"/>
          <w:szCs w:val="24"/>
        </w:rPr>
        <w:t xml:space="preserve"> residents, representing </w:t>
      </w:r>
      <w:r>
        <w:rPr>
          <w:rFonts w:cs="Arial"/>
          <w:szCs w:val="24"/>
        </w:rPr>
        <w:t>41.9</w:t>
      </w:r>
      <w:r w:rsidRPr="00023B4D">
        <w:rPr>
          <w:rFonts w:cs="Arial"/>
          <w:szCs w:val="24"/>
        </w:rPr>
        <w:t xml:space="preserve">% of residents living with chronic HCV in WA, have initiated the new DAA treatment since it was introduced in March 2016. Based on the total population rather than the population living with chronic HCV, the highest initiation rate in both reporting periods was among males and those aged 40 to </w:t>
      </w:r>
      <w:r>
        <w:rPr>
          <w:rFonts w:cs="Arial"/>
          <w:szCs w:val="24"/>
        </w:rPr>
        <w:t>5</w:t>
      </w:r>
      <w:r w:rsidRPr="00023B4D">
        <w:rPr>
          <w:rFonts w:cs="Arial"/>
          <w:szCs w:val="24"/>
        </w:rPr>
        <w:t>9 years. The proportion of WA residents initiating treatment who were aged less than 50 years increased from 37% in the first reporting period to 6</w:t>
      </w:r>
      <w:r>
        <w:rPr>
          <w:rFonts w:cs="Arial"/>
          <w:szCs w:val="24"/>
        </w:rPr>
        <w:t>6</w:t>
      </w:r>
      <w:r w:rsidRPr="00023B4D">
        <w:rPr>
          <w:rFonts w:cs="Arial"/>
          <w:szCs w:val="24"/>
        </w:rPr>
        <w:t xml:space="preserve">% in the current reporting period. In both reporting periods, approximately equal proportions of residents were categorised as Concession and General patients. In the current reporting period, the highest initiation </w:t>
      </w:r>
      <w:r>
        <w:rPr>
          <w:rFonts w:cs="Arial"/>
          <w:szCs w:val="24"/>
        </w:rPr>
        <w:t>r</w:t>
      </w:r>
      <w:r w:rsidRPr="00023B4D">
        <w:rPr>
          <w:rFonts w:cs="Arial"/>
          <w:szCs w:val="24"/>
        </w:rPr>
        <w:t>ate w</w:t>
      </w:r>
      <w:r>
        <w:rPr>
          <w:rFonts w:cs="Arial"/>
          <w:szCs w:val="24"/>
        </w:rPr>
        <w:t>as</w:t>
      </w:r>
      <w:r w:rsidRPr="00023B4D">
        <w:rPr>
          <w:rFonts w:cs="Arial"/>
          <w:szCs w:val="24"/>
        </w:rPr>
        <w:t xml:space="preserve"> among residents in the Great Southern </w:t>
      </w:r>
      <w:r>
        <w:rPr>
          <w:rFonts w:cs="Arial"/>
          <w:szCs w:val="24"/>
        </w:rPr>
        <w:t xml:space="preserve">which was the only </w:t>
      </w:r>
      <w:r w:rsidRPr="00023B4D">
        <w:rPr>
          <w:rFonts w:cs="Arial"/>
          <w:szCs w:val="24"/>
        </w:rPr>
        <w:t>region</w:t>
      </w:r>
      <w:r>
        <w:rPr>
          <w:rFonts w:cs="Arial"/>
          <w:szCs w:val="24"/>
        </w:rPr>
        <w:t xml:space="preserve"> with a </w:t>
      </w:r>
      <w:r w:rsidRPr="00023B4D">
        <w:rPr>
          <w:rFonts w:cs="Arial"/>
          <w:szCs w:val="24"/>
        </w:rPr>
        <w:t xml:space="preserve">significantly </w:t>
      </w:r>
      <w:r>
        <w:rPr>
          <w:rFonts w:cs="Arial"/>
          <w:szCs w:val="24"/>
        </w:rPr>
        <w:t>higher initiation rate</w:t>
      </w:r>
      <w:r w:rsidRPr="00023B4D">
        <w:rPr>
          <w:rFonts w:cs="Arial"/>
          <w:szCs w:val="24"/>
        </w:rPr>
        <w:t xml:space="preserve"> than the state as a whole. </w:t>
      </w:r>
    </w:p>
    <w:p w14:paraId="2786173A" w14:textId="77777777" w:rsidR="000A3AE6" w:rsidRPr="00023B4D" w:rsidRDefault="000A3AE6" w:rsidP="000A3AE6">
      <w:pPr>
        <w:rPr>
          <w:rFonts w:cs="Arial"/>
          <w:szCs w:val="24"/>
        </w:rPr>
      </w:pPr>
      <w:r w:rsidRPr="00023B4D">
        <w:rPr>
          <w:rFonts w:cs="Arial"/>
          <w:szCs w:val="24"/>
        </w:rPr>
        <w:t>The most commonly prescribed DAA treatment regimens in the current reporting period were sofosbuvir + velpatasvir and glecaprevir + pibrentasvir, following their listing on the PBS in August 2017 and August 2018, respectively. The proportion of residents who were dispensed DAA treatment through the PBS General Schedule (‘Section 85’) and from community pharmacies increased from the first reporting period to the current reporting period. In the first reporting period, only residents in the Kimberley and Pilbara regions were predominately dispensed treatment through the Section 100 (S100) Highly Specialised Drugs (HSD) Program. In the current reporting period, only the Great Southern and Midwest regions had an increase in the proportion of residents who were dispensed treatment through the S100 HSD Public Program.</w:t>
      </w:r>
    </w:p>
    <w:p w14:paraId="5E35E5FC" w14:textId="77777777" w:rsidR="000A3AE6" w:rsidRPr="00023B4D" w:rsidRDefault="000A3AE6" w:rsidP="000A3AE6">
      <w:pPr>
        <w:rPr>
          <w:rFonts w:cs="Arial"/>
          <w:szCs w:val="24"/>
        </w:rPr>
      </w:pPr>
      <w:r w:rsidRPr="00023B4D">
        <w:rPr>
          <w:rFonts w:cs="Arial"/>
          <w:szCs w:val="24"/>
        </w:rPr>
        <w:t>While approximately equal proportions of WA residents in the first reporting period were prescribed DAA treatment by a GP or a specialist, the majority of residents in the current reporting period were prescribed treatment by a GP</w:t>
      </w:r>
      <w:r>
        <w:rPr>
          <w:rFonts w:cs="Arial"/>
          <w:szCs w:val="24"/>
        </w:rPr>
        <w:t xml:space="preserve">. </w:t>
      </w:r>
      <w:r w:rsidRPr="00DF1484">
        <w:rPr>
          <w:rFonts w:cs="Arial"/>
          <w:szCs w:val="24"/>
        </w:rPr>
        <w:t>An increasing proportion of residents have been prescribed treatment by authorised nurse practitioners since the expansion of the prescriber criterion</w:t>
      </w:r>
      <w:r>
        <w:rPr>
          <w:rFonts w:cs="Arial"/>
          <w:szCs w:val="24"/>
        </w:rPr>
        <w:t>.</w:t>
      </w:r>
      <w:r w:rsidRPr="00DF1484">
        <w:rPr>
          <w:rFonts w:cs="Arial"/>
          <w:szCs w:val="24"/>
        </w:rPr>
        <w:t xml:space="preserve"> </w:t>
      </w:r>
      <w:r w:rsidRPr="00023B4D">
        <w:rPr>
          <w:rFonts w:cs="Arial"/>
          <w:szCs w:val="24"/>
        </w:rPr>
        <w:t xml:space="preserve">In the first reporting period, only residents in the Goldfields and Pilbara regions were predominately prescribed treatment by a GP. In the current reporting period, the Kimberley was the only region in which the majority of residents were prescribed treatment by a specialist. There was a </w:t>
      </w:r>
      <w:r>
        <w:rPr>
          <w:rFonts w:cs="Arial"/>
          <w:szCs w:val="24"/>
        </w:rPr>
        <w:t>26</w:t>
      </w:r>
      <w:r w:rsidRPr="00023B4D">
        <w:rPr>
          <w:rFonts w:cs="Arial"/>
          <w:szCs w:val="24"/>
        </w:rPr>
        <w:t xml:space="preserve">% increase in the number of unique prescribers for DAA treatment in WA from the first reporting period to the current reporting period. The majority of prescribers were GPs, and from the first reporting period to the current reporting period, the proportion of prescribers who were specialists decreased. While prescribers most frequently treated only one patient, a higher proportion of specialists compared to GPs, treated ten or more patients. In the current reporting period, the proportionate patient caseload among prescribing GPs only increased in the Great Southern region, and among prescribing specialists </w:t>
      </w:r>
      <w:r>
        <w:rPr>
          <w:rFonts w:cs="Arial"/>
          <w:szCs w:val="24"/>
        </w:rPr>
        <w:t>it did not increase in any regions</w:t>
      </w:r>
      <w:r w:rsidRPr="00023B4D">
        <w:rPr>
          <w:rFonts w:cs="Arial"/>
          <w:szCs w:val="24"/>
        </w:rPr>
        <w:t>.</w:t>
      </w:r>
    </w:p>
    <w:p w14:paraId="4236BBED" w14:textId="77777777" w:rsidR="005F205F" w:rsidRDefault="005F205F" w:rsidP="00720D2F">
      <w:pPr>
        <w:pStyle w:val="Heading1"/>
      </w:pPr>
    </w:p>
    <w:p w14:paraId="10F20362" w14:textId="77777777" w:rsidR="005F205F" w:rsidRDefault="005F205F">
      <w:pPr>
        <w:spacing w:after="0"/>
        <w:rPr>
          <w:rFonts w:eastAsia="Times New Roman"/>
          <w:b/>
          <w:bCs/>
          <w:color w:val="095489" w:themeColor="accent1"/>
          <w:sz w:val="30"/>
          <w:szCs w:val="28"/>
        </w:rPr>
      </w:pPr>
      <w:r>
        <w:br w:type="page"/>
      </w:r>
    </w:p>
    <w:p w14:paraId="2DE04729" w14:textId="7A55238D" w:rsidR="00720D2F" w:rsidRDefault="00720D2F" w:rsidP="00720D2F">
      <w:pPr>
        <w:pStyle w:val="Heading1"/>
      </w:pPr>
      <w:bookmarkStart w:id="16" w:name="_Toc60839108"/>
      <w:r>
        <w:lastRenderedPageBreak/>
        <w:t>Abbreviations</w:t>
      </w:r>
      <w:bookmarkEnd w:id="16"/>
    </w:p>
    <w:tbl>
      <w:tblPr>
        <w:tblW w:w="10428" w:type="dxa"/>
        <w:tblLook w:val="04A0" w:firstRow="1" w:lastRow="0" w:firstColumn="1" w:lastColumn="0" w:noHBand="0" w:noVBand="1"/>
      </w:tblPr>
      <w:tblGrid>
        <w:gridCol w:w="2802"/>
        <w:gridCol w:w="7626"/>
      </w:tblGrid>
      <w:tr w:rsidR="00C253ED" w14:paraId="043EF169" w14:textId="77777777" w:rsidTr="00990DED">
        <w:tc>
          <w:tcPr>
            <w:tcW w:w="2802" w:type="dxa"/>
            <w:shd w:val="clear" w:color="auto" w:fill="auto"/>
          </w:tcPr>
          <w:p w14:paraId="5C37FC82" w14:textId="77777777" w:rsidR="00C253ED" w:rsidRPr="00C47157" w:rsidRDefault="00C253ED" w:rsidP="00990DED">
            <w:pPr>
              <w:ind w:right="283"/>
            </w:pPr>
            <w:r w:rsidRPr="00983366">
              <w:t>A</w:t>
            </w:r>
            <w:r>
              <w:t>A</w:t>
            </w:r>
            <w:r w:rsidRPr="00983366">
              <w:t>R</w:t>
            </w:r>
          </w:p>
        </w:tc>
        <w:tc>
          <w:tcPr>
            <w:tcW w:w="7626" w:type="dxa"/>
            <w:shd w:val="clear" w:color="auto" w:fill="auto"/>
          </w:tcPr>
          <w:p w14:paraId="6ADEE688" w14:textId="77777777" w:rsidR="00C253ED" w:rsidRDefault="00C253ED" w:rsidP="00990DED">
            <w:pPr>
              <w:ind w:right="283"/>
            </w:pPr>
            <w:r>
              <w:t>Age-adjusted rate e</w:t>
            </w:r>
            <w:r w:rsidRPr="00983366">
              <w:t>xpressed per 100,000 population</w:t>
            </w:r>
          </w:p>
        </w:tc>
      </w:tr>
      <w:tr w:rsidR="00C253ED" w14:paraId="219BB88E" w14:textId="77777777" w:rsidTr="00990DED">
        <w:tc>
          <w:tcPr>
            <w:tcW w:w="2802" w:type="dxa"/>
            <w:shd w:val="clear" w:color="auto" w:fill="auto"/>
          </w:tcPr>
          <w:p w14:paraId="7DC00250" w14:textId="77777777" w:rsidR="00C253ED" w:rsidRPr="00755CA1" w:rsidRDefault="00C253ED" w:rsidP="00990DED">
            <w:pPr>
              <w:ind w:right="283"/>
            </w:pPr>
            <w:r>
              <w:t>ABS</w:t>
            </w:r>
          </w:p>
        </w:tc>
        <w:tc>
          <w:tcPr>
            <w:tcW w:w="7626" w:type="dxa"/>
            <w:shd w:val="clear" w:color="auto" w:fill="auto"/>
          </w:tcPr>
          <w:p w14:paraId="4A25A79B" w14:textId="77777777" w:rsidR="00C253ED" w:rsidRPr="00755CA1" w:rsidRDefault="00C253ED" w:rsidP="00990DED">
            <w:pPr>
              <w:ind w:right="283"/>
            </w:pPr>
            <w:r w:rsidRPr="000257CA">
              <w:t>Australian Bureau of Statistics</w:t>
            </w:r>
          </w:p>
        </w:tc>
      </w:tr>
      <w:tr w:rsidR="00C253ED" w14:paraId="5DA41593" w14:textId="77777777" w:rsidTr="00990DED">
        <w:tc>
          <w:tcPr>
            <w:tcW w:w="2802" w:type="dxa"/>
            <w:shd w:val="clear" w:color="auto" w:fill="auto"/>
          </w:tcPr>
          <w:p w14:paraId="6E03F1DB" w14:textId="77777777" w:rsidR="00C253ED" w:rsidRDefault="00C253ED" w:rsidP="00990DED">
            <w:pPr>
              <w:ind w:right="283"/>
            </w:pPr>
            <w:r>
              <w:t>DAA</w:t>
            </w:r>
          </w:p>
        </w:tc>
        <w:tc>
          <w:tcPr>
            <w:tcW w:w="7626" w:type="dxa"/>
            <w:shd w:val="clear" w:color="auto" w:fill="auto"/>
          </w:tcPr>
          <w:p w14:paraId="28624955" w14:textId="77777777" w:rsidR="00C253ED" w:rsidRDefault="00C253ED" w:rsidP="00990DED">
            <w:pPr>
              <w:ind w:right="283"/>
            </w:pPr>
            <w:r>
              <w:t>Direct acting antiviral</w:t>
            </w:r>
          </w:p>
        </w:tc>
      </w:tr>
      <w:tr w:rsidR="00C253ED" w14:paraId="4A3FD5A4" w14:textId="77777777" w:rsidTr="00990DED">
        <w:tc>
          <w:tcPr>
            <w:tcW w:w="2802" w:type="dxa"/>
            <w:shd w:val="clear" w:color="auto" w:fill="auto"/>
          </w:tcPr>
          <w:p w14:paraId="7ADC7E1E" w14:textId="77777777" w:rsidR="00C253ED" w:rsidRDefault="00C253ED" w:rsidP="00990DED">
            <w:pPr>
              <w:ind w:right="283"/>
            </w:pPr>
            <w:r>
              <w:t>DoH</w:t>
            </w:r>
          </w:p>
        </w:tc>
        <w:tc>
          <w:tcPr>
            <w:tcW w:w="7626" w:type="dxa"/>
            <w:shd w:val="clear" w:color="auto" w:fill="auto"/>
          </w:tcPr>
          <w:p w14:paraId="77DF3D4E" w14:textId="77777777" w:rsidR="00C253ED" w:rsidRPr="00343784" w:rsidRDefault="00C253ED" w:rsidP="00990DED">
            <w:pPr>
              <w:ind w:right="283"/>
            </w:pPr>
            <w:r>
              <w:t>Department of Health, Western Australia</w:t>
            </w:r>
          </w:p>
        </w:tc>
      </w:tr>
      <w:tr w:rsidR="00C253ED" w14:paraId="32E46AA5" w14:textId="77777777" w:rsidTr="00990DED">
        <w:tc>
          <w:tcPr>
            <w:tcW w:w="2802" w:type="dxa"/>
            <w:shd w:val="clear" w:color="auto" w:fill="auto"/>
          </w:tcPr>
          <w:p w14:paraId="0DF3DB9C" w14:textId="77777777" w:rsidR="00C253ED" w:rsidRDefault="00C253ED" w:rsidP="00990DED">
            <w:pPr>
              <w:ind w:right="283"/>
            </w:pPr>
            <w:r>
              <w:t>DVA</w:t>
            </w:r>
          </w:p>
        </w:tc>
        <w:tc>
          <w:tcPr>
            <w:tcW w:w="7626" w:type="dxa"/>
            <w:shd w:val="clear" w:color="auto" w:fill="auto"/>
          </w:tcPr>
          <w:p w14:paraId="5F3C99C8" w14:textId="77777777" w:rsidR="00C253ED" w:rsidRDefault="00C253ED" w:rsidP="00990DED">
            <w:pPr>
              <w:ind w:right="283"/>
            </w:pPr>
            <w:r w:rsidRPr="00343784">
              <w:t>Department of Veterans’ Affairs</w:t>
            </w:r>
          </w:p>
        </w:tc>
      </w:tr>
      <w:tr w:rsidR="00C253ED" w14:paraId="11B0A1AD" w14:textId="77777777" w:rsidTr="00990DED">
        <w:tc>
          <w:tcPr>
            <w:tcW w:w="2802" w:type="dxa"/>
            <w:shd w:val="clear" w:color="auto" w:fill="auto"/>
          </w:tcPr>
          <w:p w14:paraId="7FDBFF60" w14:textId="77777777" w:rsidR="00C253ED" w:rsidRDefault="00C253ED" w:rsidP="00990DED">
            <w:pPr>
              <w:ind w:right="283"/>
            </w:pPr>
            <w:r>
              <w:t>ERP</w:t>
            </w:r>
          </w:p>
        </w:tc>
        <w:tc>
          <w:tcPr>
            <w:tcW w:w="7626" w:type="dxa"/>
            <w:shd w:val="clear" w:color="auto" w:fill="auto"/>
          </w:tcPr>
          <w:p w14:paraId="35E0F1FF" w14:textId="77777777" w:rsidR="00C253ED" w:rsidRDefault="00C253ED" w:rsidP="00990DED">
            <w:pPr>
              <w:ind w:right="283"/>
            </w:pPr>
            <w:r>
              <w:t>Estimated residential population</w:t>
            </w:r>
          </w:p>
        </w:tc>
      </w:tr>
      <w:tr w:rsidR="00C253ED" w14:paraId="65E72A56" w14:textId="77777777" w:rsidTr="00990DED">
        <w:tc>
          <w:tcPr>
            <w:tcW w:w="2802" w:type="dxa"/>
            <w:shd w:val="clear" w:color="auto" w:fill="auto"/>
          </w:tcPr>
          <w:p w14:paraId="40371BC0" w14:textId="77777777" w:rsidR="00C253ED" w:rsidRDefault="00C253ED" w:rsidP="00990DED">
            <w:pPr>
              <w:ind w:right="283"/>
            </w:pPr>
            <w:r>
              <w:t>GP</w:t>
            </w:r>
          </w:p>
        </w:tc>
        <w:tc>
          <w:tcPr>
            <w:tcW w:w="7626" w:type="dxa"/>
            <w:shd w:val="clear" w:color="auto" w:fill="auto"/>
          </w:tcPr>
          <w:p w14:paraId="1D306D8B" w14:textId="77777777" w:rsidR="00C253ED" w:rsidRDefault="00C253ED" w:rsidP="00990DED">
            <w:pPr>
              <w:ind w:right="283"/>
            </w:pPr>
            <w:r>
              <w:t>General practitioner</w:t>
            </w:r>
          </w:p>
        </w:tc>
      </w:tr>
      <w:tr w:rsidR="00C253ED" w14:paraId="5AF191F5" w14:textId="77777777" w:rsidTr="00990DED">
        <w:tc>
          <w:tcPr>
            <w:tcW w:w="2802" w:type="dxa"/>
            <w:shd w:val="clear" w:color="auto" w:fill="auto"/>
          </w:tcPr>
          <w:p w14:paraId="705011F6" w14:textId="77777777" w:rsidR="00C253ED" w:rsidRDefault="00C253ED" w:rsidP="00990DED">
            <w:pPr>
              <w:ind w:right="283"/>
            </w:pPr>
            <w:r>
              <w:t>HCV</w:t>
            </w:r>
          </w:p>
        </w:tc>
        <w:tc>
          <w:tcPr>
            <w:tcW w:w="7626" w:type="dxa"/>
            <w:shd w:val="clear" w:color="auto" w:fill="auto"/>
          </w:tcPr>
          <w:p w14:paraId="4ACDF9B6" w14:textId="77777777" w:rsidR="00C253ED" w:rsidRPr="00130C9A" w:rsidRDefault="00C253ED" w:rsidP="00990DED">
            <w:pPr>
              <w:ind w:right="283"/>
            </w:pPr>
            <w:r>
              <w:t>Hepatitis C virus</w:t>
            </w:r>
          </w:p>
        </w:tc>
      </w:tr>
      <w:tr w:rsidR="00C253ED" w14:paraId="17470447" w14:textId="77777777" w:rsidTr="00990DED">
        <w:tc>
          <w:tcPr>
            <w:tcW w:w="2802" w:type="dxa"/>
            <w:shd w:val="clear" w:color="auto" w:fill="auto"/>
          </w:tcPr>
          <w:p w14:paraId="007951DA" w14:textId="77777777" w:rsidR="00C253ED" w:rsidRDefault="00C253ED" w:rsidP="00990DED">
            <w:pPr>
              <w:ind w:right="283"/>
            </w:pPr>
            <w:r>
              <w:t>HSD</w:t>
            </w:r>
          </w:p>
        </w:tc>
        <w:tc>
          <w:tcPr>
            <w:tcW w:w="7626" w:type="dxa"/>
            <w:shd w:val="clear" w:color="auto" w:fill="auto"/>
          </w:tcPr>
          <w:p w14:paraId="4945D69C" w14:textId="77777777" w:rsidR="00C253ED" w:rsidRPr="00130C9A" w:rsidRDefault="00C253ED" w:rsidP="00990DED">
            <w:pPr>
              <w:ind w:right="283"/>
            </w:pPr>
            <w:r w:rsidRPr="00376E13">
              <w:t>Highly Specialised Drugs</w:t>
            </w:r>
          </w:p>
        </w:tc>
      </w:tr>
      <w:tr w:rsidR="00C253ED" w14:paraId="2291E744" w14:textId="77777777" w:rsidTr="00990DED">
        <w:tc>
          <w:tcPr>
            <w:tcW w:w="2802" w:type="dxa"/>
            <w:shd w:val="clear" w:color="auto" w:fill="auto"/>
          </w:tcPr>
          <w:p w14:paraId="1A7BE26D" w14:textId="77777777" w:rsidR="00C253ED" w:rsidRDefault="00C253ED" w:rsidP="00990DED">
            <w:pPr>
              <w:ind w:right="283"/>
            </w:pPr>
            <w:r>
              <w:t>PBS</w:t>
            </w:r>
          </w:p>
        </w:tc>
        <w:tc>
          <w:tcPr>
            <w:tcW w:w="7626" w:type="dxa"/>
            <w:shd w:val="clear" w:color="auto" w:fill="auto"/>
          </w:tcPr>
          <w:p w14:paraId="1DAA1FC7" w14:textId="77777777" w:rsidR="00C253ED" w:rsidRDefault="00C253ED" w:rsidP="00990DED">
            <w:pPr>
              <w:ind w:right="283"/>
            </w:pPr>
            <w:r w:rsidRPr="00130C9A">
              <w:t>Pharmaceutical Benefits Scheme</w:t>
            </w:r>
          </w:p>
        </w:tc>
      </w:tr>
      <w:tr w:rsidR="00C253ED" w14:paraId="5C9291F9" w14:textId="77777777" w:rsidTr="00990DED">
        <w:tc>
          <w:tcPr>
            <w:tcW w:w="2802" w:type="dxa"/>
            <w:shd w:val="clear" w:color="auto" w:fill="auto"/>
          </w:tcPr>
          <w:p w14:paraId="5261EA9A" w14:textId="77777777" w:rsidR="00C253ED" w:rsidRDefault="00C253ED" w:rsidP="00990DED">
            <w:pPr>
              <w:ind w:right="283"/>
            </w:pPr>
            <w:r>
              <w:t>r</w:t>
            </w:r>
          </w:p>
        </w:tc>
        <w:tc>
          <w:tcPr>
            <w:tcW w:w="7626" w:type="dxa"/>
            <w:shd w:val="clear" w:color="auto" w:fill="auto"/>
          </w:tcPr>
          <w:p w14:paraId="1171FA0D" w14:textId="77777777" w:rsidR="00C253ED" w:rsidRDefault="00C253ED" w:rsidP="00990DED">
            <w:pPr>
              <w:ind w:right="283"/>
            </w:pPr>
            <w:r>
              <w:t>Correlation coefficient</w:t>
            </w:r>
          </w:p>
        </w:tc>
      </w:tr>
      <w:tr w:rsidR="00C253ED" w14:paraId="7786326B" w14:textId="77777777" w:rsidTr="00990DED">
        <w:tc>
          <w:tcPr>
            <w:tcW w:w="2802" w:type="dxa"/>
            <w:shd w:val="clear" w:color="auto" w:fill="auto"/>
          </w:tcPr>
          <w:p w14:paraId="7DF6E1B5" w14:textId="77777777" w:rsidR="00C253ED" w:rsidRPr="00F84982" w:rsidRDefault="00C253ED" w:rsidP="00990DED">
            <w:pPr>
              <w:ind w:right="283"/>
            </w:pPr>
            <w:r>
              <w:t>S100</w:t>
            </w:r>
          </w:p>
        </w:tc>
        <w:tc>
          <w:tcPr>
            <w:tcW w:w="7626" w:type="dxa"/>
            <w:shd w:val="clear" w:color="auto" w:fill="auto"/>
          </w:tcPr>
          <w:p w14:paraId="033DDE4F" w14:textId="77777777" w:rsidR="00C253ED" w:rsidRPr="00F84982" w:rsidRDefault="00C253ED" w:rsidP="00990DED">
            <w:pPr>
              <w:ind w:right="283"/>
            </w:pPr>
            <w:r>
              <w:t>Section 100</w:t>
            </w:r>
          </w:p>
        </w:tc>
      </w:tr>
      <w:tr w:rsidR="00C253ED" w14:paraId="38ED12CE" w14:textId="77777777" w:rsidTr="00990DED">
        <w:tc>
          <w:tcPr>
            <w:tcW w:w="2802" w:type="dxa"/>
            <w:shd w:val="clear" w:color="auto" w:fill="auto"/>
          </w:tcPr>
          <w:p w14:paraId="72493C24" w14:textId="77777777" w:rsidR="00C253ED" w:rsidRPr="00F84982" w:rsidRDefault="00C253ED" w:rsidP="00990DED">
            <w:pPr>
              <w:ind w:right="283"/>
            </w:pPr>
            <w:r>
              <w:t>SA2</w:t>
            </w:r>
          </w:p>
        </w:tc>
        <w:tc>
          <w:tcPr>
            <w:tcW w:w="7626" w:type="dxa"/>
            <w:shd w:val="clear" w:color="auto" w:fill="auto"/>
          </w:tcPr>
          <w:p w14:paraId="7E951900" w14:textId="77777777" w:rsidR="00C253ED" w:rsidRPr="00F84982" w:rsidRDefault="00C253ED" w:rsidP="00990DED">
            <w:pPr>
              <w:ind w:right="283"/>
            </w:pPr>
            <w:r w:rsidRPr="00BD4E87">
              <w:t>Statistical Area</w:t>
            </w:r>
            <w:r>
              <w:t xml:space="preserve"> Level 2</w:t>
            </w:r>
          </w:p>
        </w:tc>
      </w:tr>
      <w:tr w:rsidR="00C253ED" w14:paraId="19F7A92C" w14:textId="77777777" w:rsidTr="00990DED">
        <w:tc>
          <w:tcPr>
            <w:tcW w:w="2802" w:type="dxa"/>
            <w:shd w:val="clear" w:color="auto" w:fill="auto"/>
          </w:tcPr>
          <w:p w14:paraId="79F741C6" w14:textId="77777777" w:rsidR="00C253ED" w:rsidRDefault="00C253ED" w:rsidP="00990DED">
            <w:pPr>
              <w:ind w:right="283"/>
            </w:pPr>
            <w:r w:rsidRPr="00F84982">
              <w:t>WA</w:t>
            </w:r>
          </w:p>
        </w:tc>
        <w:tc>
          <w:tcPr>
            <w:tcW w:w="7626" w:type="dxa"/>
            <w:shd w:val="clear" w:color="auto" w:fill="auto"/>
          </w:tcPr>
          <w:p w14:paraId="1DA33A13" w14:textId="77777777" w:rsidR="00C253ED" w:rsidRDefault="00C253ED" w:rsidP="00990DED">
            <w:pPr>
              <w:ind w:right="283"/>
            </w:pPr>
            <w:r w:rsidRPr="00F84982">
              <w:t>Western Australia</w:t>
            </w:r>
          </w:p>
        </w:tc>
      </w:tr>
    </w:tbl>
    <w:p w14:paraId="32DD1B41" w14:textId="676B6759" w:rsidR="00822217" w:rsidRDefault="00822217" w:rsidP="00720D2F"/>
    <w:p w14:paraId="1E68C043" w14:textId="77777777" w:rsidR="00822217" w:rsidRPr="00720D2F" w:rsidRDefault="00822217" w:rsidP="00720D2F"/>
    <w:p w14:paraId="12D2A2DC" w14:textId="77777777" w:rsidR="005F205F" w:rsidRDefault="005F205F">
      <w:pPr>
        <w:spacing w:after="0"/>
        <w:rPr>
          <w:rFonts w:eastAsia="Times New Roman"/>
          <w:b/>
          <w:bCs/>
          <w:color w:val="095489" w:themeColor="accent1"/>
          <w:sz w:val="30"/>
          <w:szCs w:val="28"/>
        </w:rPr>
      </w:pPr>
      <w:r>
        <w:br w:type="page"/>
      </w:r>
    </w:p>
    <w:p w14:paraId="5336F961" w14:textId="0CAAE2FC" w:rsidR="00863A06" w:rsidRDefault="00054EF7" w:rsidP="00863A06">
      <w:pPr>
        <w:pStyle w:val="Heading1"/>
      </w:pPr>
      <w:bookmarkStart w:id="17" w:name="_Toc60839109"/>
      <w:r>
        <w:lastRenderedPageBreak/>
        <w:t>Introduction and aims</w:t>
      </w:r>
      <w:bookmarkEnd w:id="17"/>
    </w:p>
    <w:p w14:paraId="3C9F38B2" w14:textId="0FF29105" w:rsidR="00C253ED" w:rsidRDefault="00C253ED" w:rsidP="00C253ED">
      <w:pPr>
        <w:ind w:right="283"/>
      </w:pPr>
      <w:bookmarkStart w:id="18" w:name="_Toc57988982"/>
      <w:r>
        <w:t xml:space="preserve">On 1 March 2016, new direct acting antiviral (DAA) oral regimens were listed on the </w:t>
      </w:r>
      <w:r w:rsidRPr="00005E23">
        <w:t>Pharmaceutical Benefits Scheme (PBS)</w:t>
      </w:r>
      <w:r>
        <w:t xml:space="preserve"> for the treatment of chronic hepatitis C infection (HCV).</w:t>
      </w:r>
      <w:r w:rsidRPr="0014704C">
        <w:t xml:space="preserve"> In addition, GPs and other medical practitioners experienced in the treatment of </w:t>
      </w:r>
      <w:r>
        <w:t>H</w:t>
      </w:r>
      <w:r w:rsidRPr="0014704C">
        <w:t>C</w:t>
      </w:r>
      <w:r>
        <w:t>V</w:t>
      </w:r>
      <w:r w:rsidRPr="0014704C">
        <w:t xml:space="preserve"> became eligible to independently prescribe </w:t>
      </w:r>
      <w:r>
        <w:t>DAA treatment for chronic HCV</w:t>
      </w:r>
      <w:r w:rsidRPr="0014704C">
        <w:t xml:space="preserve"> under the PBS without consulting an infectious diseases physician, hepatologist or gastroenterologist</w:t>
      </w:r>
      <w:r>
        <w:t>.</w:t>
      </w:r>
      <w:r w:rsidR="00B37A57">
        <w:t xml:space="preserve"> More recently, this criterion has been expanded to include </w:t>
      </w:r>
      <w:r w:rsidR="00B37A57" w:rsidRPr="00B37A57">
        <w:t>authorised nurse practitioners experienced in the treatment of chronic HCV infection.</w:t>
      </w:r>
    </w:p>
    <w:p w14:paraId="434EC806" w14:textId="5BA5AB0E" w:rsidR="00C253ED" w:rsidRDefault="00C253ED" w:rsidP="00C253ED">
      <w:pPr>
        <w:ind w:right="283"/>
      </w:pPr>
      <w:r>
        <w:t xml:space="preserve">The aim of this report is to describe the number of people in </w:t>
      </w:r>
      <w:r w:rsidRPr="002C4672">
        <w:t xml:space="preserve">Western Australia (WA) who initiated DAA treatment for chronic HCV from March </w:t>
      </w:r>
      <w:r>
        <w:t xml:space="preserve">2016 </w:t>
      </w:r>
      <w:r w:rsidRPr="002C4672">
        <w:t xml:space="preserve">to </w:t>
      </w:r>
      <w:r>
        <w:t>March 20</w:t>
      </w:r>
      <w:r w:rsidR="00057FAE">
        <w:t>20</w:t>
      </w:r>
      <w:r w:rsidRPr="002C4672">
        <w:t xml:space="preserve"> by </w:t>
      </w:r>
      <w:r>
        <w:t xml:space="preserve">reporting period, </w:t>
      </w:r>
      <w:r w:rsidRPr="002C4672">
        <w:t>patient demographics, regimen, dispensing and prescriber characteristics.</w:t>
      </w:r>
    </w:p>
    <w:p w14:paraId="5336F967" w14:textId="3281BA3F" w:rsidR="00863A06" w:rsidRDefault="00054EF7" w:rsidP="00054EF7">
      <w:pPr>
        <w:pStyle w:val="Heading2"/>
      </w:pPr>
      <w:bookmarkStart w:id="19" w:name="_Toc60839110"/>
      <w:r>
        <w:t>Methods</w:t>
      </w:r>
      <w:bookmarkEnd w:id="18"/>
      <w:bookmarkEnd w:id="19"/>
    </w:p>
    <w:p w14:paraId="29511972" w14:textId="77777777" w:rsidR="00054EF7" w:rsidRPr="00054EF7" w:rsidRDefault="00054EF7" w:rsidP="00054EF7">
      <w:pPr>
        <w:pStyle w:val="Heading4"/>
        <w:rPr>
          <w:rFonts w:eastAsia="Calibri"/>
        </w:rPr>
      </w:pPr>
      <w:r w:rsidRPr="00054EF7">
        <w:rPr>
          <w:rFonts w:eastAsia="Times"/>
        </w:rPr>
        <w:t>Pharmaceutical Benefits Scheme (PBS) data</w:t>
      </w:r>
    </w:p>
    <w:p w14:paraId="57715F4A" w14:textId="397B69EA" w:rsidR="00C253ED" w:rsidRDefault="00C253ED" w:rsidP="00C253ED">
      <w:pPr>
        <w:ind w:right="283"/>
      </w:pPr>
      <w:r>
        <w:t xml:space="preserve">The Department of Health, WA (DoH) received a de-identified extract of PBS data on the number of prescriptions for HCV treatment supplied to WA residents from </w:t>
      </w:r>
      <w:r w:rsidRPr="00E56050">
        <w:t xml:space="preserve">1 </w:t>
      </w:r>
      <w:r>
        <w:t>March</w:t>
      </w:r>
      <w:r w:rsidRPr="00E56050">
        <w:t xml:space="preserve"> 2016 to 3</w:t>
      </w:r>
      <w:r>
        <w:t>1</w:t>
      </w:r>
      <w:r w:rsidRPr="00E56050">
        <w:t xml:space="preserve"> </w:t>
      </w:r>
      <w:r>
        <w:t xml:space="preserve">March </w:t>
      </w:r>
      <w:r w:rsidR="00693CF5">
        <w:t>2020</w:t>
      </w:r>
      <w:r>
        <w:t xml:space="preserve">. The data were extracted by selected drugs used for treating HCV or by selected </w:t>
      </w:r>
      <w:r w:rsidRPr="00D33707">
        <w:t>PBS item codes or indications</w:t>
      </w:r>
      <w:r>
        <w:t xml:space="preserve">, where necessary. </w:t>
      </w:r>
      <w:r w:rsidRPr="00932325">
        <w:t>The indication was identified from the Authority Code or Streamlined Authority Code where available. WA residents were identified from the patient postcode as recorded on the Medicare Enrol</w:t>
      </w:r>
      <w:r>
        <w:t>ment file at the date of supply.</w:t>
      </w:r>
      <w:r w:rsidRPr="00932325">
        <w:t xml:space="preserve"> The patient postcode to state mapping was updated based on Australia Post’s ranges for each state and territory</w:t>
      </w:r>
      <w:r>
        <w:t>.</w:t>
      </w:r>
    </w:p>
    <w:p w14:paraId="33617A51" w14:textId="77777777" w:rsidR="00C253ED" w:rsidRDefault="00C253ED" w:rsidP="00C253ED">
      <w:pPr>
        <w:ind w:right="283"/>
      </w:pPr>
      <w:r>
        <w:t xml:space="preserve">The data were analysed using the following PBS variables: patient identification number confidentialised, patient date of birth, patient sex, patient postcode, patient category, pharmacy type, prescriber ID confidentialised, prescriber derived major speciality, date of prescribing, date of supply, PBS item code, drug name, program code, streamlined authority code and authority </w:t>
      </w:r>
      <w:r w:rsidRPr="00254D18">
        <w:t>code. Data on the patient’s Aboriginality were not made available.</w:t>
      </w:r>
    </w:p>
    <w:p w14:paraId="10F2EA54" w14:textId="77777777" w:rsidR="00054EF7" w:rsidRDefault="00054EF7" w:rsidP="00054EF7">
      <w:pPr>
        <w:pStyle w:val="Heading4"/>
      </w:pPr>
      <w:r>
        <w:t>Regional boundaries and population estimates</w:t>
      </w:r>
    </w:p>
    <w:p w14:paraId="2933980F" w14:textId="77777777" w:rsidR="00C253ED" w:rsidRDefault="00C253ED" w:rsidP="00C253ED">
      <w:pPr>
        <w:ind w:right="283"/>
      </w:pPr>
      <w:r>
        <w:t xml:space="preserve">WA is divided into ten health administrative regions: three in the Perth metropolitan area (East, North and South), four in the Northern and Remote area (Goldfields, Kimberley, Midwest and Pilbara) and three in the Southern area (Great Southern, South West and Wheatbelt). </w:t>
      </w:r>
    </w:p>
    <w:p w14:paraId="3B5D4035" w14:textId="77777777" w:rsidR="00C253ED" w:rsidRDefault="00C253ED" w:rsidP="00C253ED">
      <w:pPr>
        <w:ind w:right="283"/>
      </w:pPr>
      <w:r w:rsidRPr="00625FAB">
        <w:t>Population estimates used as denominators in the analyses were based on the mid-year population provided by the Australian Bureau of Statistics (ABS). The ABS calculates estimated residential populations (ERP</w:t>
      </w:r>
      <w:r>
        <w:t>s</w:t>
      </w:r>
      <w:r w:rsidRPr="00625FAB">
        <w:t xml:space="preserve">) at the Statistical Area Level 2 (SA2). Based on these population estimates, </w:t>
      </w:r>
      <w:r>
        <w:t xml:space="preserve">the </w:t>
      </w:r>
      <w:r w:rsidRPr="00625FAB">
        <w:t>Epidemiology Branch of the D</w:t>
      </w:r>
      <w:r>
        <w:t>oH</w:t>
      </w:r>
      <w:r w:rsidRPr="00625FAB">
        <w:t xml:space="preserve"> derived postcode level population</w:t>
      </w:r>
      <w:r>
        <w:t xml:space="preserve"> estimates</w:t>
      </w:r>
      <w:r w:rsidRPr="00625FAB">
        <w:t xml:space="preserve">. These </w:t>
      </w:r>
      <w:r>
        <w:t xml:space="preserve">postcodes </w:t>
      </w:r>
      <w:r w:rsidRPr="00625FAB">
        <w:t xml:space="preserve">are then grouped to defined </w:t>
      </w:r>
      <w:r>
        <w:t>h</w:t>
      </w:r>
      <w:r w:rsidRPr="00625FAB">
        <w:t xml:space="preserve">ealth </w:t>
      </w:r>
      <w:r>
        <w:t>r</w:t>
      </w:r>
      <w:r w:rsidRPr="00625FAB">
        <w:t xml:space="preserve">egion boundaries. The population of each </w:t>
      </w:r>
      <w:r>
        <w:t>h</w:t>
      </w:r>
      <w:r w:rsidRPr="00625FAB">
        <w:t xml:space="preserve">ealth </w:t>
      </w:r>
      <w:r>
        <w:t>r</w:t>
      </w:r>
      <w:r w:rsidRPr="00625FAB">
        <w:t xml:space="preserve">egion are then based on the sum of each </w:t>
      </w:r>
      <w:r>
        <w:t xml:space="preserve">postcode </w:t>
      </w:r>
      <w:r w:rsidRPr="00625FAB">
        <w:t xml:space="preserve">within that </w:t>
      </w:r>
      <w:r>
        <w:t>h</w:t>
      </w:r>
      <w:r w:rsidRPr="00625FAB">
        <w:t xml:space="preserve">ealth </w:t>
      </w:r>
      <w:r>
        <w:t>r</w:t>
      </w:r>
      <w:r w:rsidRPr="00625FAB">
        <w:t>egion</w:t>
      </w:r>
      <w:r w:rsidRPr="005A2B17">
        <w:rPr>
          <w:vertAlign w:val="superscript"/>
        </w:rPr>
        <w:t>1</w:t>
      </w:r>
      <w:r w:rsidRPr="00625FAB">
        <w:t xml:space="preserve">. </w:t>
      </w:r>
    </w:p>
    <w:p w14:paraId="764088F1" w14:textId="77777777" w:rsidR="00054EF7" w:rsidRDefault="00054EF7" w:rsidP="00054EF7">
      <w:pPr>
        <w:pStyle w:val="Heading4"/>
      </w:pPr>
      <w:r>
        <w:t>Interpreting the results</w:t>
      </w:r>
    </w:p>
    <w:p w14:paraId="7A38A1FA" w14:textId="77777777" w:rsidR="00C253ED" w:rsidRDefault="00C253ED" w:rsidP="00C253ED">
      <w:pPr>
        <w:ind w:right="283"/>
      </w:pPr>
      <w:r>
        <w:t xml:space="preserve">In this report, initiation of treatment is expressed as the </w:t>
      </w:r>
      <w:r w:rsidRPr="009D03CD">
        <w:t>number</w:t>
      </w:r>
      <w:r>
        <w:t>, proportion and rate</w:t>
      </w:r>
      <w:r w:rsidRPr="009D03CD">
        <w:t xml:space="preserve"> of WA</w:t>
      </w:r>
      <w:r>
        <w:t xml:space="preserve"> residents</w:t>
      </w:r>
      <w:r w:rsidRPr="009D03CD">
        <w:t xml:space="preserve"> who initiated DAA treatment for chronic HCV</w:t>
      </w:r>
      <w:r>
        <w:t xml:space="preserve">. Age-adjusted rates (AARs) are calculated to take account of differences in age composition when rates for different </w:t>
      </w:r>
      <w:r>
        <w:lastRenderedPageBreak/>
        <w:t xml:space="preserve">populations are compared. Age-specific rates were based on the specified age groups and calculated by dividing the number of initiations by the population of the same sex and age group. </w:t>
      </w:r>
      <w:r w:rsidRPr="000236FB">
        <w:t xml:space="preserve">As no reliable estimates of the number of WA residents living with chronic </w:t>
      </w:r>
      <w:r>
        <w:t>HCV</w:t>
      </w:r>
      <w:r w:rsidRPr="000236FB">
        <w:t xml:space="preserve"> infection in each health region were available, initiation </w:t>
      </w:r>
      <w:r>
        <w:t>rates are based on the total population rather than the population living with chronic HCV and are annualised to allow for comparison over time.</w:t>
      </w:r>
      <w:r w:rsidRPr="000744E8">
        <w:t xml:space="preserve"> A</w:t>
      </w:r>
      <w:r>
        <w:t>A</w:t>
      </w:r>
      <w:r w:rsidRPr="000744E8">
        <w:t>Rs and age</w:t>
      </w:r>
      <w:r>
        <w:t>-</w:t>
      </w:r>
      <w:r w:rsidRPr="000744E8">
        <w:t>specific rates are expressed per 100,000 population</w:t>
      </w:r>
      <w:r>
        <w:t>.</w:t>
      </w:r>
      <w:r w:rsidRPr="000744E8">
        <w:t xml:space="preserve"> </w:t>
      </w:r>
      <w:r>
        <w:t xml:space="preserve">The 2001 Australian standard resident population from the ABS was used as the reference population for </w:t>
      </w:r>
      <w:r w:rsidRPr="00C06DAB">
        <w:t>standardisation.</w:t>
      </w:r>
      <w:r w:rsidRPr="00F55A06">
        <w:t xml:space="preserve"> </w:t>
      </w:r>
    </w:p>
    <w:p w14:paraId="69AAF7EB" w14:textId="77777777" w:rsidR="00C253ED" w:rsidRDefault="00C253ED" w:rsidP="00C253ED">
      <w:pPr>
        <w:ind w:right="283"/>
      </w:pPr>
      <w:r w:rsidRPr="00F55A06">
        <w:t xml:space="preserve">Error bars were used to display the 95% confidence intervals around the rates for each region. If the error bars for the two regions to be compared do not overlap, there is a statistically significant difference in </w:t>
      </w:r>
      <w:r>
        <w:t>AAR</w:t>
      </w:r>
      <w:r w:rsidRPr="00F55A06">
        <w:t xml:space="preserve">s for those two regions. If the error bars for the two regions do overlap, there is no statistically significant difference in </w:t>
      </w:r>
      <w:r>
        <w:t>AAR</w:t>
      </w:r>
      <w:r w:rsidRPr="00F55A06">
        <w:t xml:space="preserve">s for the two </w:t>
      </w:r>
      <w:r w:rsidRPr="00806D41">
        <w:t xml:space="preserve">regions. The </w:t>
      </w:r>
      <w:r>
        <w:t>AAR</w:t>
      </w:r>
      <w:r w:rsidRPr="00806D41">
        <w:t>s by year can be compared in the similar manner as regional</w:t>
      </w:r>
      <w:r w:rsidRPr="00F55A06">
        <w:t xml:space="preserve"> comparisons.</w:t>
      </w:r>
    </w:p>
    <w:p w14:paraId="5EF5D533" w14:textId="3B9EDBE7" w:rsidR="00C253ED" w:rsidRDefault="00C253ED" w:rsidP="00C253ED">
      <w:pPr>
        <w:ind w:right="283"/>
      </w:pPr>
      <w:r>
        <w:t>Where applicable, the data are presented in six-monthly reporting periods: the first from March to September 2016</w:t>
      </w:r>
      <w:r w:rsidR="00B37E62">
        <w:t>;</w:t>
      </w:r>
      <w:r>
        <w:t xml:space="preserve"> the second from </w:t>
      </w:r>
      <w:r w:rsidRPr="003C4AC6">
        <w:t>October 2016</w:t>
      </w:r>
      <w:r>
        <w:t xml:space="preserve"> to </w:t>
      </w:r>
      <w:r w:rsidRPr="003C4AC6">
        <w:t>March 2017</w:t>
      </w:r>
      <w:r w:rsidR="00B37E62">
        <w:t>;</w:t>
      </w:r>
      <w:r w:rsidRPr="003C4AC6">
        <w:t xml:space="preserve"> the third </w:t>
      </w:r>
      <w:r>
        <w:t xml:space="preserve">from </w:t>
      </w:r>
      <w:r w:rsidRPr="003C4AC6">
        <w:t>Apri</w:t>
      </w:r>
      <w:r>
        <w:t xml:space="preserve">l to </w:t>
      </w:r>
      <w:r w:rsidRPr="003C4AC6">
        <w:t>September 2017</w:t>
      </w:r>
      <w:r>
        <w:t xml:space="preserve">; the fourth from </w:t>
      </w:r>
      <w:r w:rsidRPr="003C4AC6">
        <w:t>October 2017</w:t>
      </w:r>
      <w:r>
        <w:t xml:space="preserve"> to </w:t>
      </w:r>
      <w:r w:rsidRPr="003C4AC6">
        <w:t>March 2018</w:t>
      </w:r>
      <w:r w:rsidR="00B37E62">
        <w:t>;</w:t>
      </w:r>
      <w:r>
        <w:t xml:space="preserve"> the fifth from April to September 2018; </w:t>
      </w:r>
      <w:r w:rsidR="00B37E62">
        <w:t xml:space="preserve">the sixth from October 2018 to March 2019; the seventh from April 2019 to September 2019; and </w:t>
      </w:r>
      <w:r>
        <w:t>the current reporting period from October 201</w:t>
      </w:r>
      <w:r w:rsidR="00B37E62">
        <w:t>9</w:t>
      </w:r>
      <w:r>
        <w:t xml:space="preserve"> to March 20</w:t>
      </w:r>
      <w:r w:rsidR="00B37E62">
        <w:t>20</w:t>
      </w:r>
      <w:r w:rsidRPr="003C4AC6">
        <w:t>.</w:t>
      </w:r>
    </w:p>
    <w:p w14:paraId="7EE3DA73" w14:textId="4B5E6571" w:rsidR="00054EF7" w:rsidRDefault="00B740FD" w:rsidP="00074EBF">
      <w:pPr>
        <w:pStyle w:val="Heading1"/>
      </w:pPr>
      <w:bookmarkStart w:id="20" w:name="_Toc60839111"/>
      <w:r>
        <w:t>Results</w:t>
      </w:r>
      <w:bookmarkEnd w:id="20"/>
    </w:p>
    <w:p w14:paraId="7F66893F" w14:textId="7987EC0D" w:rsidR="00B740FD" w:rsidRPr="00074EBF" w:rsidRDefault="00C253ED" w:rsidP="00074EBF">
      <w:pPr>
        <w:pStyle w:val="Heading2"/>
      </w:pPr>
      <w:bookmarkStart w:id="21" w:name="_Toc60839112"/>
      <w:r>
        <w:t>DAA t</w:t>
      </w:r>
      <w:r w:rsidR="00B740FD" w:rsidRPr="00074EBF">
        <w:t>reatment uptake by patient demographics</w:t>
      </w:r>
      <w:bookmarkEnd w:id="21"/>
    </w:p>
    <w:p w14:paraId="7F3F7A1F" w14:textId="701BACFB" w:rsidR="00C253ED" w:rsidRDefault="00F01F10" w:rsidP="00C253ED">
      <w:pPr>
        <w:ind w:right="283"/>
      </w:pPr>
      <w:r>
        <w:t>At the start of 2016</w:t>
      </w:r>
      <w:r w:rsidR="00C253ED" w:rsidRPr="007802DD">
        <w:t xml:space="preserve">, an estimated </w:t>
      </w:r>
      <w:r>
        <w:t>18,646</w:t>
      </w:r>
      <w:r w:rsidR="00C253ED" w:rsidRPr="007802DD">
        <w:t xml:space="preserve"> WA residents were living with chronic HCV infection</w:t>
      </w:r>
      <w:r w:rsidR="00C253ED" w:rsidRPr="007802DD">
        <w:rPr>
          <w:vertAlign w:val="superscript"/>
        </w:rPr>
        <w:t>2</w:t>
      </w:r>
      <w:r w:rsidR="00C253ED" w:rsidRPr="007802DD">
        <w:t xml:space="preserve">. </w:t>
      </w:r>
      <w:r w:rsidR="00C253ED">
        <w:t>From March 2016 to March 20</w:t>
      </w:r>
      <w:r>
        <w:t>20</w:t>
      </w:r>
      <w:r w:rsidR="00C253ED" w:rsidRPr="007802DD">
        <w:t xml:space="preserve">, a total of </w:t>
      </w:r>
      <w:r>
        <w:t>7</w:t>
      </w:r>
      <w:r w:rsidR="00C253ED">
        <w:t>,</w:t>
      </w:r>
      <w:r>
        <w:t>820</w:t>
      </w:r>
      <w:r w:rsidR="00C253ED" w:rsidRPr="007802DD">
        <w:t xml:space="preserve"> residents, representing </w:t>
      </w:r>
      <w:r>
        <w:t>41.9</w:t>
      </w:r>
      <w:r w:rsidR="00C253ED" w:rsidRPr="007802DD">
        <w:t>% of residents living with chronic HCV in WA, initiated the new DAA treatment. The initial increase and subsequent decline in treatment uptake was consistent with a “warehouse” effect, with a</w:t>
      </w:r>
      <w:r w:rsidR="00C253ED">
        <w:t xml:space="preserve"> large number of patients in specialist clinics awaiting DAA treatment access initiating treatment in the early months (Figure 1). While the trend in DAA initiations fluctuated by reporting period, there was an overall decrease </w:t>
      </w:r>
      <w:r w:rsidR="003F5372">
        <w:t>over time. It should be noted that the decrease in</w:t>
      </w:r>
      <w:r w:rsidR="00C253ED">
        <w:t xml:space="preserve"> the current reporting period </w:t>
      </w:r>
      <w:r w:rsidR="003F5372">
        <w:t xml:space="preserve">may be </w:t>
      </w:r>
      <w:r w:rsidR="003C1EDA">
        <w:t xml:space="preserve">have been </w:t>
      </w:r>
      <w:r w:rsidR="003F5372">
        <w:t xml:space="preserve">partly due to COVID-19 lockdown that occurred in the first half of 2020 </w:t>
      </w:r>
      <w:r w:rsidR="00C253ED">
        <w:t>(Figure 2).</w:t>
      </w:r>
    </w:p>
    <w:p w14:paraId="3AE2F316" w14:textId="77777777" w:rsidR="001F6912" w:rsidRDefault="001F6912" w:rsidP="00C253ED">
      <w:pPr>
        <w:pStyle w:val="Caption"/>
        <w:ind w:right="283"/>
      </w:pPr>
    </w:p>
    <w:p w14:paraId="6C035158" w14:textId="77777777" w:rsidR="001F6912" w:rsidRDefault="001F6912" w:rsidP="00C253ED">
      <w:pPr>
        <w:pStyle w:val="Caption"/>
        <w:ind w:right="283"/>
      </w:pPr>
    </w:p>
    <w:p w14:paraId="061E9E52" w14:textId="77777777" w:rsidR="001F6912" w:rsidRDefault="001F6912" w:rsidP="00C253ED">
      <w:pPr>
        <w:pStyle w:val="Caption"/>
        <w:ind w:right="283"/>
      </w:pPr>
    </w:p>
    <w:p w14:paraId="72E79F31" w14:textId="77777777" w:rsidR="001F6912" w:rsidRDefault="001F6912" w:rsidP="00C253ED">
      <w:pPr>
        <w:pStyle w:val="Caption"/>
        <w:ind w:right="283"/>
      </w:pPr>
    </w:p>
    <w:p w14:paraId="4EBA32CE" w14:textId="77777777" w:rsidR="001F6912" w:rsidRDefault="001F6912" w:rsidP="00C253ED">
      <w:pPr>
        <w:pStyle w:val="Caption"/>
        <w:ind w:right="283"/>
      </w:pPr>
    </w:p>
    <w:p w14:paraId="0B18082C" w14:textId="77777777" w:rsidR="001F6912" w:rsidRDefault="001F6912" w:rsidP="00C253ED">
      <w:pPr>
        <w:pStyle w:val="Caption"/>
        <w:ind w:right="283"/>
      </w:pPr>
    </w:p>
    <w:p w14:paraId="39F4E872" w14:textId="77777777" w:rsidR="001F6912" w:rsidRDefault="001F6912" w:rsidP="00C253ED">
      <w:pPr>
        <w:pStyle w:val="Caption"/>
        <w:ind w:right="283"/>
      </w:pPr>
    </w:p>
    <w:p w14:paraId="4D843B7C" w14:textId="7DA02434" w:rsidR="001F6912" w:rsidRDefault="001F6912" w:rsidP="00C253ED">
      <w:pPr>
        <w:pStyle w:val="Caption"/>
        <w:ind w:right="283"/>
      </w:pPr>
    </w:p>
    <w:p w14:paraId="0399E338" w14:textId="77777777" w:rsidR="00DE654A" w:rsidRPr="00DE654A" w:rsidRDefault="00DE654A" w:rsidP="00DE654A"/>
    <w:p w14:paraId="22E46CE7" w14:textId="77777777" w:rsidR="001F6912" w:rsidRDefault="001F6912" w:rsidP="00C253ED">
      <w:pPr>
        <w:pStyle w:val="Caption"/>
        <w:ind w:right="283"/>
      </w:pPr>
    </w:p>
    <w:p w14:paraId="233E15A0" w14:textId="77777777" w:rsidR="001F6912" w:rsidRDefault="001F6912" w:rsidP="00C253ED">
      <w:pPr>
        <w:pStyle w:val="Caption"/>
        <w:ind w:right="283"/>
      </w:pPr>
    </w:p>
    <w:p w14:paraId="7B03F38A" w14:textId="1FD0690D" w:rsidR="00C253ED" w:rsidRDefault="00C253ED" w:rsidP="00C253ED">
      <w:pPr>
        <w:pStyle w:val="Caption"/>
        <w:ind w:right="283"/>
      </w:pPr>
      <w:r w:rsidRPr="006B2193">
        <w:lastRenderedPageBreak/>
        <w:t xml:space="preserve">Figure </w:t>
      </w:r>
      <w:r w:rsidR="00C62955">
        <w:rPr>
          <w:noProof/>
        </w:rPr>
        <w:fldChar w:fldCharType="begin"/>
      </w:r>
      <w:r w:rsidR="00C62955">
        <w:rPr>
          <w:noProof/>
        </w:rPr>
        <w:instrText xml:space="preserve"> SEQ Figure \* ARABIC </w:instrText>
      </w:r>
      <w:r w:rsidR="00C62955">
        <w:rPr>
          <w:noProof/>
        </w:rPr>
        <w:fldChar w:fldCharType="separate"/>
      </w:r>
      <w:r>
        <w:rPr>
          <w:noProof/>
        </w:rPr>
        <w:t>1</w:t>
      </w:r>
      <w:r w:rsidR="00C62955">
        <w:rPr>
          <w:noProof/>
        </w:rPr>
        <w:fldChar w:fldCharType="end"/>
      </w:r>
      <w:r w:rsidRPr="006B2193">
        <w:t xml:space="preserve">. Number of WA residents initiating DAA treatment by month, March 2016 to </w:t>
      </w:r>
      <w:r>
        <w:t>March 20</w:t>
      </w:r>
      <w:r w:rsidR="00F01F10">
        <w:t>20</w:t>
      </w:r>
    </w:p>
    <w:p w14:paraId="7D328324" w14:textId="56353724" w:rsidR="00CF34E4" w:rsidRDefault="00CF34E4" w:rsidP="00C253ED">
      <w:pPr>
        <w:ind w:right="283"/>
        <w:jc w:val="center"/>
      </w:pPr>
      <w:r w:rsidRPr="00CF34E4">
        <w:rPr>
          <w:noProof/>
        </w:rPr>
        <w:drawing>
          <wp:inline distT="0" distB="0" distL="0" distR="0" wp14:anchorId="04F835C0" wp14:editId="4BF0D273">
            <wp:extent cx="6117084" cy="39924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7084" cy="3992400"/>
                    </a:xfrm>
                    <a:prstGeom prst="rect">
                      <a:avLst/>
                    </a:prstGeom>
                    <a:noFill/>
                    <a:ln>
                      <a:noFill/>
                    </a:ln>
                  </pic:spPr>
                </pic:pic>
              </a:graphicData>
            </a:graphic>
          </wp:inline>
        </w:drawing>
      </w:r>
    </w:p>
    <w:p w14:paraId="3FE4E171" w14:textId="3A188B89" w:rsidR="00C253ED" w:rsidRDefault="00C253ED" w:rsidP="00C253ED">
      <w:pPr>
        <w:pStyle w:val="Caption"/>
        <w:ind w:right="283"/>
      </w:pPr>
      <w:r w:rsidRPr="006B2193">
        <w:t xml:space="preserve">Figure </w:t>
      </w:r>
      <w:r w:rsidR="00C62955">
        <w:rPr>
          <w:noProof/>
        </w:rPr>
        <w:fldChar w:fldCharType="begin"/>
      </w:r>
      <w:r w:rsidR="00C62955">
        <w:rPr>
          <w:noProof/>
        </w:rPr>
        <w:instrText xml:space="preserve"> SEQ Figure \* ARABIC </w:instrText>
      </w:r>
      <w:r w:rsidR="00C62955">
        <w:rPr>
          <w:noProof/>
        </w:rPr>
        <w:fldChar w:fldCharType="separate"/>
      </w:r>
      <w:r>
        <w:rPr>
          <w:noProof/>
        </w:rPr>
        <w:t>2</w:t>
      </w:r>
      <w:r w:rsidR="00C62955">
        <w:rPr>
          <w:noProof/>
        </w:rPr>
        <w:fldChar w:fldCharType="end"/>
      </w:r>
      <w:r w:rsidRPr="006B2193">
        <w:t>. Number</w:t>
      </w:r>
      <w:r>
        <w:t xml:space="preserve"> and rate</w:t>
      </w:r>
      <w:r w:rsidRPr="006B2193">
        <w:t xml:space="preserve"> of WA residents initiating DAA treatment by </w:t>
      </w:r>
      <w:r>
        <w:t>reporting period</w:t>
      </w:r>
      <w:r w:rsidRPr="006B2193">
        <w:t xml:space="preserve">, March 2016 to </w:t>
      </w:r>
      <w:r w:rsidRPr="00AD6E0C">
        <w:t xml:space="preserve">March </w:t>
      </w:r>
      <w:r w:rsidR="00CF34E4">
        <w:t>2020</w:t>
      </w:r>
    </w:p>
    <w:p w14:paraId="58E550FE" w14:textId="77280BF5" w:rsidR="00CF34E4" w:rsidRDefault="00CF34E4" w:rsidP="00C253ED">
      <w:pPr>
        <w:ind w:right="283"/>
        <w:jc w:val="center"/>
      </w:pPr>
      <w:r w:rsidRPr="00CF34E4">
        <w:rPr>
          <w:noProof/>
        </w:rPr>
        <w:drawing>
          <wp:inline distT="0" distB="0" distL="0" distR="0" wp14:anchorId="38958742" wp14:editId="20B7AD29">
            <wp:extent cx="6117084" cy="3992400"/>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7084" cy="3992400"/>
                    </a:xfrm>
                    <a:prstGeom prst="rect">
                      <a:avLst/>
                    </a:prstGeom>
                    <a:noFill/>
                    <a:ln>
                      <a:noFill/>
                    </a:ln>
                  </pic:spPr>
                </pic:pic>
              </a:graphicData>
            </a:graphic>
          </wp:inline>
        </w:drawing>
      </w:r>
    </w:p>
    <w:p w14:paraId="66065C0A" w14:textId="655DC189" w:rsidR="00C253ED" w:rsidRDefault="00C253ED" w:rsidP="00C253ED">
      <w:pPr>
        <w:ind w:right="283"/>
      </w:pPr>
      <w:r>
        <w:lastRenderedPageBreak/>
        <w:t xml:space="preserve">The majority of WA residents who </w:t>
      </w:r>
      <w:r w:rsidRPr="009A3F31">
        <w:t>initiated the new DAA treatment</w:t>
      </w:r>
      <w:r>
        <w:t xml:space="preserve"> between March 2016 and </w:t>
      </w:r>
      <w:r w:rsidRPr="00AD6E0C">
        <w:t xml:space="preserve">March </w:t>
      </w:r>
      <w:r w:rsidR="000D54B4">
        <w:t>2020</w:t>
      </w:r>
      <w:r>
        <w:t xml:space="preserve"> were male (68%). </w:t>
      </w:r>
      <w:r w:rsidRPr="00ED798B">
        <w:t>Based on the total population rather than the population living with chronic HCV, the highest initiation rate</w:t>
      </w:r>
      <w:r>
        <w:t>s were also a</w:t>
      </w:r>
      <w:r w:rsidRPr="00ED798B">
        <w:t>mong males</w:t>
      </w:r>
      <w:r>
        <w:t xml:space="preserve">. There were different trends in the initiation rate among males and females over the reporting periods </w:t>
      </w:r>
      <w:r w:rsidRPr="00930251">
        <w:t>(Figure 3).</w:t>
      </w:r>
    </w:p>
    <w:p w14:paraId="1D05D822" w14:textId="4E7D1E99" w:rsidR="00C253ED" w:rsidRDefault="00C253ED" w:rsidP="00C253ED">
      <w:pPr>
        <w:pStyle w:val="Caption"/>
        <w:ind w:right="283"/>
      </w:pPr>
      <w:r w:rsidRPr="006B2193">
        <w:t xml:space="preserve">Figure </w:t>
      </w:r>
      <w:r w:rsidR="00C62955">
        <w:rPr>
          <w:noProof/>
        </w:rPr>
        <w:fldChar w:fldCharType="begin"/>
      </w:r>
      <w:r w:rsidR="00C62955">
        <w:rPr>
          <w:noProof/>
        </w:rPr>
        <w:instrText xml:space="preserve"> SEQ Figure \* ARABIC </w:instrText>
      </w:r>
      <w:r w:rsidR="00C62955">
        <w:rPr>
          <w:noProof/>
        </w:rPr>
        <w:fldChar w:fldCharType="separate"/>
      </w:r>
      <w:r>
        <w:rPr>
          <w:noProof/>
        </w:rPr>
        <w:t>3</w:t>
      </w:r>
      <w:r w:rsidR="00C62955">
        <w:rPr>
          <w:noProof/>
        </w:rPr>
        <w:fldChar w:fldCharType="end"/>
      </w:r>
      <w:r w:rsidRPr="006B2193">
        <w:t xml:space="preserve">. </w:t>
      </w:r>
      <w:r>
        <w:t>Rate</w:t>
      </w:r>
      <w:r w:rsidRPr="006B2193">
        <w:t xml:space="preserve"> of WA residents initiating DAA treatment by </w:t>
      </w:r>
      <w:r>
        <w:t>sex and reporting period</w:t>
      </w:r>
      <w:r w:rsidRPr="006B2193">
        <w:t xml:space="preserve">, March 2016 to </w:t>
      </w:r>
      <w:r w:rsidRPr="00AD6E0C">
        <w:t xml:space="preserve">March </w:t>
      </w:r>
      <w:r w:rsidR="000D54B4">
        <w:t>2020</w:t>
      </w:r>
    </w:p>
    <w:p w14:paraId="3A5BFA78" w14:textId="4AFD56D1" w:rsidR="000D54B4" w:rsidRDefault="000D54B4" w:rsidP="00C253ED">
      <w:pPr>
        <w:ind w:right="283"/>
        <w:jc w:val="center"/>
        <w:rPr>
          <w:sz w:val="16"/>
          <w:szCs w:val="16"/>
        </w:rPr>
      </w:pPr>
      <w:r w:rsidRPr="000D54B4">
        <w:rPr>
          <w:noProof/>
        </w:rPr>
        <w:drawing>
          <wp:inline distT="0" distB="0" distL="0" distR="0" wp14:anchorId="71D55D64" wp14:editId="3ED9C1D0">
            <wp:extent cx="6117084" cy="399240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7084" cy="3992400"/>
                    </a:xfrm>
                    <a:prstGeom prst="rect">
                      <a:avLst/>
                    </a:prstGeom>
                    <a:noFill/>
                    <a:ln>
                      <a:noFill/>
                    </a:ln>
                  </pic:spPr>
                </pic:pic>
              </a:graphicData>
            </a:graphic>
          </wp:inline>
        </w:drawing>
      </w:r>
    </w:p>
    <w:p w14:paraId="56EAECA7" w14:textId="77777777" w:rsidR="00C253ED" w:rsidRDefault="00C253ED" w:rsidP="00C253ED">
      <w:pPr>
        <w:ind w:right="283"/>
        <w:rPr>
          <w:sz w:val="16"/>
          <w:szCs w:val="16"/>
        </w:rPr>
      </w:pPr>
      <w:r w:rsidRPr="000141D1">
        <w:rPr>
          <w:sz w:val="16"/>
          <w:szCs w:val="16"/>
        </w:rPr>
        <w:t xml:space="preserve">Note: </w:t>
      </w:r>
      <w:r w:rsidRPr="00C66106">
        <w:rPr>
          <w:sz w:val="16"/>
          <w:szCs w:val="16"/>
        </w:rPr>
        <w:t>95% CI = lower and upper confidence limits</w:t>
      </w:r>
    </w:p>
    <w:p w14:paraId="0B2EE287" w14:textId="77777777" w:rsidR="00DC3D43" w:rsidRDefault="00DC3D43">
      <w:pPr>
        <w:spacing w:after="0"/>
      </w:pPr>
      <w:r>
        <w:br w:type="page"/>
      </w:r>
    </w:p>
    <w:p w14:paraId="5A8FB05D" w14:textId="4A2F1469" w:rsidR="00C253ED" w:rsidRDefault="00C253ED" w:rsidP="00C253ED">
      <w:pPr>
        <w:ind w:right="283"/>
      </w:pPr>
      <w:r>
        <w:lastRenderedPageBreak/>
        <w:t xml:space="preserve">Of the WA residents who initiated the new DAA treatment between March 2016 and </w:t>
      </w:r>
      <w:r w:rsidRPr="00AD6E0C">
        <w:t>March 20</w:t>
      </w:r>
      <w:r w:rsidR="001F6912">
        <w:t>20</w:t>
      </w:r>
      <w:r>
        <w:t xml:space="preserve">, </w:t>
      </w:r>
      <w:r w:rsidR="008F6653">
        <w:t>54</w:t>
      </w:r>
      <w:r>
        <w:t xml:space="preserve">% were aged </w:t>
      </w:r>
      <w:r w:rsidR="008F6653">
        <w:t>40</w:t>
      </w:r>
      <w:r>
        <w:t xml:space="preserve"> to 59 years </w:t>
      </w:r>
      <w:r w:rsidR="008F6653">
        <w:t>and</w:t>
      </w:r>
      <w:r>
        <w:t xml:space="preserve"> the </w:t>
      </w:r>
      <w:r w:rsidRPr="00ED798B">
        <w:t xml:space="preserve">proportion who were aged less than 50 years </w:t>
      </w:r>
      <w:r>
        <w:t>in</w:t>
      </w:r>
      <w:r w:rsidRPr="00ED798B">
        <w:t xml:space="preserve">creased from </w:t>
      </w:r>
      <w:r>
        <w:t xml:space="preserve">37% in </w:t>
      </w:r>
      <w:r w:rsidRPr="00112582">
        <w:t xml:space="preserve">the </w:t>
      </w:r>
      <w:r>
        <w:t>first reporting period</w:t>
      </w:r>
      <w:r w:rsidRPr="00112582">
        <w:t xml:space="preserve"> </w:t>
      </w:r>
      <w:r w:rsidRPr="00ED798B">
        <w:t xml:space="preserve">to </w:t>
      </w:r>
      <w:r>
        <w:t>6</w:t>
      </w:r>
      <w:r w:rsidR="008F6653">
        <w:t>6</w:t>
      </w:r>
      <w:r>
        <w:t>% in the current reporting period</w:t>
      </w:r>
      <w:r w:rsidRPr="00ED798B">
        <w:t xml:space="preserve"> (Figure </w:t>
      </w:r>
      <w:r>
        <w:t>4</w:t>
      </w:r>
      <w:r w:rsidRPr="00ED798B">
        <w:t xml:space="preserve">). </w:t>
      </w:r>
      <w:r>
        <w:t xml:space="preserve">Based on the total population rather than the population living with chronic HCV, the highest initiation rates were generally among </w:t>
      </w:r>
      <w:r w:rsidRPr="00D609AE">
        <w:t xml:space="preserve">those aged 40 to 49 years (Table </w:t>
      </w:r>
      <w:r>
        <w:t>1</w:t>
      </w:r>
      <w:r w:rsidRPr="00D609AE">
        <w:t>).</w:t>
      </w:r>
      <w:r>
        <w:t xml:space="preserve"> </w:t>
      </w:r>
    </w:p>
    <w:p w14:paraId="556DB5BA" w14:textId="1B1414A4" w:rsidR="00C253ED" w:rsidRDefault="00C253ED" w:rsidP="00C253ED">
      <w:pPr>
        <w:pStyle w:val="Caption"/>
        <w:ind w:right="283"/>
      </w:pPr>
      <w:r>
        <w:t xml:space="preserve">Figure </w:t>
      </w:r>
      <w:r w:rsidR="00C62955">
        <w:rPr>
          <w:noProof/>
        </w:rPr>
        <w:fldChar w:fldCharType="begin"/>
      </w:r>
      <w:r w:rsidR="00C62955">
        <w:rPr>
          <w:noProof/>
        </w:rPr>
        <w:instrText xml:space="preserve"> SEQ Figure \* ARABIC </w:instrText>
      </w:r>
      <w:r w:rsidR="00C62955">
        <w:rPr>
          <w:noProof/>
        </w:rPr>
        <w:fldChar w:fldCharType="separate"/>
      </w:r>
      <w:r>
        <w:rPr>
          <w:noProof/>
        </w:rPr>
        <w:t>4</w:t>
      </w:r>
      <w:r w:rsidR="00C62955">
        <w:rPr>
          <w:noProof/>
        </w:rPr>
        <w:fldChar w:fldCharType="end"/>
      </w:r>
      <w:r>
        <w:t xml:space="preserve">. Proportion of WA residents initiating DAA treatment by age group and reporting period, </w:t>
      </w:r>
      <w:r w:rsidRPr="00D155E1">
        <w:t xml:space="preserve">March 2016 to </w:t>
      </w:r>
      <w:r w:rsidRPr="003E33A6">
        <w:t>March 20</w:t>
      </w:r>
      <w:r w:rsidR="008F6653">
        <w:t>20</w:t>
      </w:r>
    </w:p>
    <w:p w14:paraId="76441EC6" w14:textId="28C3A46F" w:rsidR="008775AC" w:rsidRDefault="008775AC" w:rsidP="00C253ED">
      <w:pPr>
        <w:ind w:right="283"/>
        <w:jc w:val="center"/>
      </w:pPr>
      <w:r w:rsidRPr="008775AC">
        <w:rPr>
          <w:noProof/>
        </w:rPr>
        <w:drawing>
          <wp:inline distT="0" distB="0" distL="0" distR="0" wp14:anchorId="31C4F6D3" wp14:editId="509736B9">
            <wp:extent cx="6117084" cy="3992400"/>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7084" cy="3992400"/>
                    </a:xfrm>
                    <a:prstGeom prst="rect">
                      <a:avLst/>
                    </a:prstGeom>
                    <a:noFill/>
                    <a:ln>
                      <a:noFill/>
                    </a:ln>
                  </pic:spPr>
                </pic:pic>
              </a:graphicData>
            </a:graphic>
          </wp:inline>
        </w:drawing>
      </w:r>
    </w:p>
    <w:p w14:paraId="2318E930" w14:textId="1A9CC171" w:rsidR="00C253ED" w:rsidRDefault="00C253ED" w:rsidP="00C253ED">
      <w:pPr>
        <w:pStyle w:val="Caption"/>
        <w:ind w:right="283"/>
      </w:pPr>
      <w:r>
        <w:t xml:space="preserve">Table </w:t>
      </w:r>
      <w:r w:rsidR="00C62955">
        <w:rPr>
          <w:noProof/>
        </w:rPr>
        <w:fldChar w:fldCharType="begin"/>
      </w:r>
      <w:r w:rsidR="00C62955">
        <w:rPr>
          <w:noProof/>
        </w:rPr>
        <w:instrText xml:space="preserve"> SEQ Table \* ARABIC </w:instrText>
      </w:r>
      <w:r w:rsidR="00C62955">
        <w:rPr>
          <w:noProof/>
        </w:rPr>
        <w:fldChar w:fldCharType="separate"/>
      </w:r>
      <w:r>
        <w:rPr>
          <w:noProof/>
        </w:rPr>
        <w:t>1</w:t>
      </w:r>
      <w:r w:rsidR="00C62955">
        <w:rPr>
          <w:noProof/>
        </w:rPr>
        <w:fldChar w:fldCharType="end"/>
      </w:r>
      <w:r>
        <w:t xml:space="preserve">. Number, proportion and rate of WA residents </w:t>
      </w:r>
      <w:r w:rsidRPr="003064CD">
        <w:t>initiating DAA treatment</w:t>
      </w:r>
      <w:r>
        <w:t xml:space="preserve"> by age group and </w:t>
      </w:r>
      <w:bookmarkStart w:id="22" w:name="_Hlk60826360"/>
      <w:r>
        <w:t>reporting period</w:t>
      </w:r>
      <w:r w:rsidRPr="003064CD">
        <w:t xml:space="preserve">, </w:t>
      </w:r>
      <w:r w:rsidRPr="0074530F">
        <w:t xml:space="preserve">March 2016 to </w:t>
      </w:r>
      <w:r>
        <w:t>September 2018 and October</w:t>
      </w:r>
      <w:r w:rsidRPr="0074530F">
        <w:t xml:space="preserve"> 20</w:t>
      </w:r>
      <w:r w:rsidR="001362B1">
        <w:t>19</w:t>
      </w:r>
      <w:r>
        <w:t xml:space="preserve"> to March 20</w:t>
      </w:r>
      <w:r w:rsidR="001362B1">
        <w:t>20</w:t>
      </w:r>
      <w:bookmarkEnd w:id="22"/>
    </w:p>
    <w:p w14:paraId="41C48C38" w14:textId="2786C34E" w:rsidR="001362B1" w:rsidRDefault="001362B1" w:rsidP="00C253ED">
      <w:pPr>
        <w:ind w:right="283"/>
        <w:jc w:val="center"/>
      </w:pPr>
      <w:r w:rsidRPr="001362B1">
        <w:rPr>
          <w:noProof/>
        </w:rPr>
        <w:drawing>
          <wp:inline distT="0" distB="0" distL="0" distR="0" wp14:anchorId="210ECE7D" wp14:editId="17CCD151">
            <wp:extent cx="4438650" cy="1695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38650" cy="1695450"/>
                    </a:xfrm>
                    <a:prstGeom prst="rect">
                      <a:avLst/>
                    </a:prstGeom>
                    <a:noFill/>
                    <a:ln>
                      <a:noFill/>
                    </a:ln>
                  </pic:spPr>
                </pic:pic>
              </a:graphicData>
            </a:graphic>
          </wp:inline>
        </w:drawing>
      </w:r>
    </w:p>
    <w:p w14:paraId="2FEF5B02" w14:textId="77777777" w:rsidR="00C253ED" w:rsidRPr="000141D1" w:rsidRDefault="00C253ED" w:rsidP="00C253ED">
      <w:pPr>
        <w:ind w:right="283"/>
      </w:pPr>
      <w:r w:rsidRPr="000141D1">
        <w:rPr>
          <w:sz w:val="16"/>
          <w:szCs w:val="16"/>
        </w:rPr>
        <w:t>Note: Rate = </w:t>
      </w:r>
      <w:r>
        <w:rPr>
          <w:sz w:val="16"/>
          <w:szCs w:val="16"/>
        </w:rPr>
        <w:t xml:space="preserve">Annualised age-specific rate per 100,000 population. </w:t>
      </w:r>
      <w:r w:rsidRPr="00C66106">
        <w:rPr>
          <w:sz w:val="16"/>
          <w:szCs w:val="16"/>
        </w:rPr>
        <w:t>The rates for the Tota</w:t>
      </w:r>
      <w:r>
        <w:rPr>
          <w:sz w:val="16"/>
          <w:szCs w:val="16"/>
        </w:rPr>
        <w:t>ls are annualised crude rates.</w:t>
      </w:r>
      <w:r w:rsidRPr="00F67C30">
        <w:t xml:space="preserve"> </w:t>
      </w:r>
    </w:p>
    <w:p w14:paraId="6793EB37" w14:textId="77777777" w:rsidR="00DC3D43" w:rsidRDefault="00DC3D43">
      <w:pPr>
        <w:spacing w:after="0"/>
      </w:pPr>
      <w:r>
        <w:br w:type="page"/>
      </w:r>
    </w:p>
    <w:p w14:paraId="0C8320E4" w14:textId="30B391D5" w:rsidR="00C253ED" w:rsidRDefault="00C253ED" w:rsidP="00C253ED">
      <w:pPr>
        <w:ind w:right="283"/>
      </w:pPr>
      <w:r w:rsidRPr="006D45D0">
        <w:lastRenderedPageBreak/>
        <w:t xml:space="preserve">In each reporting period from March 2016 to </w:t>
      </w:r>
      <w:r>
        <w:t xml:space="preserve">March </w:t>
      </w:r>
      <w:r w:rsidRPr="006D45D0">
        <w:t>20</w:t>
      </w:r>
      <w:r w:rsidR="00872070">
        <w:t>20</w:t>
      </w:r>
      <w:r w:rsidRPr="006D45D0">
        <w:t>, approximately equal proportions of residents were categorised as Concession and General patients (Figure 5).</w:t>
      </w:r>
      <w:r>
        <w:t xml:space="preserve"> </w:t>
      </w:r>
    </w:p>
    <w:p w14:paraId="1D91710B" w14:textId="1C4A8F68" w:rsidR="00C253ED" w:rsidRDefault="00C253ED" w:rsidP="00C253ED">
      <w:pPr>
        <w:pStyle w:val="Caption"/>
        <w:ind w:right="283"/>
      </w:pPr>
      <w:r w:rsidRPr="006D45D0">
        <w:t xml:space="preserve">Figure </w:t>
      </w:r>
      <w:r w:rsidR="00C62955">
        <w:rPr>
          <w:noProof/>
        </w:rPr>
        <w:fldChar w:fldCharType="begin"/>
      </w:r>
      <w:r w:rsidR="00C62955">
        <w:rPr>
          <w:noProof/>
        </w:rPr>
        <w:instrText xml:space="preserve"> SEQ Figure \* ARABIC </w:instrText>
      </w:r>
      <w:r w:rsidR="00C62955">
        <w:rPr>
          <w:noProof/>
        </w:rPr>
        <w:fldChar w:fldCharType="separate"/>
      </w:r>
      <w:r w:rsidRPr="006D45D0">
        <w:rPr>
          <w:noProof/>
        </w:rPr>
        <w:t>5</w:t>
      </w:r>
      <w:r w:rsidR="00C62955">
        <w:rPr>
          <w:noProof/>
        </w:rPr>
        <w:fldChar w:fldCharType="end"/>
      </w:r>
      <w:r w:rsidRPr="006D45D0">
        <w:t xml:space="preserve">. Proportion of WA residents initiating DAA treatment by beneficiary status and reporting period, March 2016 to </w:t>
      </w:r>
      <w:r w:rsidRPr="004E0FB0">
        <w:t>March 20</w:t>
      </w:r>
      <w:r w:rsidR="00C24976">
        <w:t>20</w:t>
      </w:r>
    </w:p>
    <w:p w14:paraId="3A9B135C" w14:textId="3799606A" w:rsidR="00C24976" w:rsidRPr="0007683C" w:rsidRDefault="00C24976" w:rsidP="00C253ED">
      <w:pPr>
        <w:ind w:right="283"/>
        <w:jc w:val="center"/>
      </w:pPr>
      <w:r w:rsidRPr="00C24976">
        <w:rPr>
          <w:noProof/>
        </w:rPr>
        <w:drawing>
          <wp:inline distT="0" distB="0" distL="0" distR="0" wp14:anchorId="6D7849AF" wp14:editId="1D3AD53A">
            <wp:extent cx="6117084" cy="3992400"/>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7084" cy="3992400"/>
                    </a:xfrm>
                    <a:prstGeom prst="rect">
                      <a:avLst/>
                    </a:prstGeom>
                    <a:noFill/>
                    <a:ln>
                      <a:noFill/>
                    </a:ln>
                  </pic:spPr>
                </pic:pic>
              </a:graphicData>
            </a:graphic>
          </wp:inline>
        </w:drawing>
      </w:r>
    </w:p>
    <w:p w14:paraId="7AD31777" w14:textId="00D007CB" w:rsidR="00C253ED" w:rsidRDefault="00C253ED" w:rsidP="00C253ED">
      <w:pPr>
        <w:pStyle w:val="Caption"/>
        <w:ind w:right="283"/>
        <w:rPr>
          <w:b w:val="0"/>
          <w:sz w:val="16"/>
          <w:szCs w:val="16"/>
        </w:rPr>
      </w:pPr>
      <w:r>
        <w:rPr>
          <w:b w:val="0"/>
          <w:sz w:val="16"/>
          <w:szCs w:val="16"/>
        </w:rPr>
        <w:t>Note: T</w:t>
      </w:r>
      <w:r w:rsidRPr="00193823">
        <w:rPr>
          <w:b w:val="0"/>
          <w:sz w:val="16"/>
          <w:szCs w:val="16"/>
        </w:rPr>
        <w:t xml:space="preserve">he level of subsidy under the PBS depends on the patient’s beneficiary status. Concessional status </w:t>
      </w:r>
      <w:r>
        <w:rPr>
          <w:b w:val="0"/>
          <w:sz w:val="16"/>
          <w:szCs w:val="16"/>
        </w:rPr>
        <w:t>is for people</w:t>
      </w:r>
      <w:r w:rsidRPr="00193823">
        <w:rPr>
          <w:b w:val="0"/>
          <w:sz w:val="16"/>
          <w:szCs w:val="16"/>
        </w:rPr>
        <w:t xml:space="preserve"> who are eligible to receive government ent</w:t>
      </w:r>
      <w:r>
        <w:rPr>
          <w:b w:val="0"/>
          <w:sz w:val="16"/>
          <w:szCs w:val="16"/>
        </w:rPr>
        <w:t>itlements, including pensioners and</w:t>
      </w:r>
      <w:r w:rsidRPr="00193823">
        <w:rPr>
          <w:b w:val="0"/>
          <w:sz w:val="16"/>
          <w:szCs w:val="16"/>
        </w:rPr>
        <w:t xml:space="preserve"> low-income earners. Eligible veterans and their dependents holding a </w:t>
      </w:r>
      <w:r>
        <w:rPr>
          <w:b w:val="0"/>
          <w:sz w:val="16"/>
          <w:szCs w:val="16"/>
        </w:rPr>
        <w:t>Department of Veteran’s Affairs (</w:t>
      </w:r>
      <w:r w:rsidRPr="00193823">
        <w:rPr>
          <w:b w:val="0"/>
          <w:sz w:val="16"/>
          <w:szCs w:val="16"/>
        </w:rPr>
        <w:t>DVA</w:t>
      </w:r>
      <w:r>
        <w:rPr>
          <w:b w:val="0"/>
          <w:sz w:val="16"/>
          <w:szCs w:val="16"/>
        </w:rPr>
        <w:t>)</w:t>
      </w:r>
      <w:r w:rsidRPr="00193823">
        <w:rPr>
          <w:b w:val="0"/>
          <w:sz w:val="16"/>
          <w:szCs w:val="16"/>
        </w:rPr>
        <w:t xml:space="preserve"> health card are also entitled to medicines and additional pharmaceutical items at concessional rates under the R</w:t>
      </w:r>
      <w:r>
        <w:rPr>
          <w:b w:val="0"/>
          <w:sz w:val="16"/>
          <w:szCs w:val="16"/>
        </w:rPr>
        <w:t xml:space="preserve">epatriation </w:t>
      </w:r>
      <w:r w:rsidRPr="00193823">
        <w:rPr>
          <w:b w:val="0"/>
          <w:sz w:val="16"/>
          <w:szCs w:val="16"/>
        </w:rPr>
        <w:t>PBS.</w:t>
      </w:r>
      <w:r>
        <w:rPr>
          <w:b w:val="0"/>
          <w:sz w:val="16"/>
          <w:szCs w:val="16"/>
        </w:rPr>
        <w:t xml:space="preserve"> </w:t>
      </w:r>
      <w:r w:rsidRPr="00193823">
        <w:rPr>
          <w:b w:val="0"/>
          <w:sz w:val="16"/>
          <w:szCs w:val="16"/>
        </w:rPr>
        <w:t>All other individuals are considered general beneficiaries and have a higher co-payment threshold.</w:t>
      </w:r>
      <w:r>
        <w:rPr>
          <w:b w:val="0"/>
          <w:sz w:val="16"/>
          <w:szCs w:val="16"/>
        </w:rPr>
        <w:t xml:space="preserve"> </w:t>
      </w:r>
      <w:r w:rsidR="00983E64">
        <w:rPr>
          <w:b w:val="0"/>
          <w:sz w:val="16"/>
          <w:szCs w:val="16"/>
        </w:rPr>
        <w:t xml:space="preserve">In the period from March 2016 to March 2020, a total of eight residents were </w:t>
      </w:r>
      <w:r>
        <w:rPr>
          <w:b w:val="0"/>
          <w:sz w:val="16"/>
          <w:szCs w:val="16"/>
        </w:rPr>
        <w:t>R</w:t>
      </w:r>
      <w:r w:rsidRPr="00A8641D">
        <w:rPr>
          <w:b w:val="0"/>
          <w:sz w:val="16"/>
          <w:szCs w:val="16"/>
        </w:rPr>
        <w:t>epatriation</w:t>
      </w:r>
      <w:r>
        <w:rPr>
          <w:b w:val="0"/>
          <w:sz w:val="16"/>
          <w:szCs w:val="16"/>
        </w:rPr>
        <w:t xml:space="preserve"> </w:t>
      </w:r>
      <w:r w:rsidRPr="00A8641D">
        <w:rPr>
          <w:b w:val="0"/>
          <w:sz w:val="16"/>
          <w:szCs w:val="16"/>
        </w:rPr>
        <w:t>PBS</w:t>
      </w:r>
      <w:r>
        <w:rPr>
          <w:b w:val="0"/>
          <w:sz w:val="16"/>
          <w:szCs w:val="16"/>
        </w:rPr>
        <w:t xml:space="preserve"> </w:t>
      </w:r>
      <w:r w:rsidRPr="00A8641D">
        <w:rPr>
          <w:b w:val="0"/>
          <w:sz w:val="16"/>
          <w:szCs w:val="16"/>
        </w:rPr>
        <w:t>patients</w:t>
      </w:r>
      <w:r>
        <w:rPr>
          <w:b w:val="0"/>
          <w:sz w:val="16"/>
          <w:szCs w:val="16"/>
        </w:rPr>
        <w:t xml:space="preserve">, and these have </w:t>
      </w:r>
      <w:r w:rsidRPr="00A8641D">
        <w:rPr>
          <w:b w:val="0"/>
          <w:sz w:val="16"/>
          <w:szCs w:val="16"/>
        </w:rPr>
        <w:t xml:space="preserve">been excluded from this </w:t>
      </w:r>
      <w:r>
        <w:rPr>
          <w:b w:val="0"/>
          <w:sz w:val="16"/>
          <w:szCs w:val="16"/>
        </w:rPr>
        <w:t xml:space="preserve">figure. </w:t>
      </w:r>
    </w:p>
    <w:p w14:paraId="0F382F3D" w14:textId="5D26B9CE" w:rsidR="00C253ED" w:rsidRPr="006D45D0" w:rsidRDefault="00C253ED" w:rsidP="00C253ED">
      <w:pPr>
        <w:ind w:right="283"/>
      </w:pPr>
      <w:r>
        <w:t>I</w:t>
      </w:r>
      <w:r w:rsidRPr="00B26275">
        <w:t xml:space="preserve">n the </w:t>
      </w:r>
      <w:r>
        <w:t xml:space="preserve">first reporting </w:t>
      </w:r>
      <w:r w:rsidRPr="00B26275">
        <w:t>period</w:t>
      </w:r>
      <w:r>
        <w:t>, t</w:t>
      </w:r>
      <w:r w:rsidRPr="00B26275">
        <w:t>he highest initiation rates were among residents in the Great Southern, Midwest and Kimberley</w:t>
      </w:r>
      <w:r>
        <w:t xml:space="preserve"> regions. I</w:t>
      </w:r>
      <w:r w:rsidRPr="00FC5EE3">
        <w:t xml:space="preserve">n the </w:t>
      </w:r>
      <w:r>
        <w:t xml:space="preserve">current reporting </w:t>
      </w:r>
      <w:r w:rsidRPr="00FC5EE3">
        <w:t>period</w:t>
      </w:r>
      <w:r w:rsidRPr="00B26275">
        <w:t xml:space="preserve">, </w:t>
      </w:r>
      <w:r>
        <w:t xml:space="preserve">the rate could not be reliably </w:t>
      </w:r>
      <w:r w:rsidRPr="006D45D0">
        <w:t>calculated for the Kimberley</w:t>
      </w:r>
      <w:r w:rsidR="00C654C4">
        <w:t xml:space="preserve">, Midwest, </w:t>
      </w:r>
      <w:r w:rsidRPr="006D45D0">
        <w:t xml:space="preserve">Pilbara </w:t>
      </w:r>
      <w:r w:rsidR="00C654C4">
        <w:t xml:space="preserve">and Wheatbelt </w:t>
      </w:r>
      <w:r w:rsidRPr="006D45D0">
        <w:t>regions due to low numbers, and the highest initiation rates were among residents in the Great Southern</w:t>
      </w:r>
      <w:r>
        <w:t xml:space="preserve"> and</w:t>
      </w:r>
      <w:r w:rsidRPr="006D45D0">
        <w:t xml:space="preserve"> </w:t>
      </w:r>
      <w:r w:rsidR="00216D11">
        <w:t>Goldfields</w:t>
      </w:r>
      <w:r>
        <w:t xml:space="preserve"> regions </w:t>
      </w:r>
      <w:r w:rsidRPr="006D45D0">
        <w:t xml:space="preserve">(Figure 6 and Figure 7). </w:t>
      </w:r>
    </w:p>
    <w:p w14:paraId="7978E623" w14:textId="77777777" w:rsidR="00C253ED" w:rsidRPr="006D45D0" w:rsidRDefault="00C253ED" w:rsidP="00C253ED">
      <w:pPr>
        <w:pStyle w:val="Caption"/>
        <w:ind w:right="283"/>
      </w:pPr>
      <w:r>
        <w:br w:type="page"/>
      </w:r>
      <w:r w:rsidRPr="006D45D0">
        <w:lastRenderedPageBreak/>
        <w:t xml:space="preserve">Figure </w:t>
      </w:r>
      <w:r w:rsidR="00C62955">
        <w:rPr>
          <w:noProof/>
        </w:rPr>
        <w:fldChar w:fldCharType="begin"/>
      </w:r>
      <w:r w:rsidR="00C62955">
        <w:rPr>
          <w:noProof/>
        </w:rPr>
        <w:instrText xml:space="preserve"> SEQ Figure \* ARABIC </w:instrText>
      </w:r>
      <w:r w:rsidR="00C62955">
        <w:rPr>
          <w:noProof/>
        </w:rPr>
        <w:fldChar w:fldCharType="separate"/>
      </w:r>
      <w:r w:rsidRPr="006D45D0">
        <w:rPr>
          <w:noProof/>
        </w:rPr>
        <w:t>6</w:t>
      </w:r>
      <w:r w:rsidR="00C62955">
        <w:rPr>
          <w:noProof/>
        </w:rPr>
        <w:fldChar w:fldCharType="end"/>
      </w:r>
      <w:r w:rsidRPr="006D45D0">
        <w:t>. Number and rate of WA residents initiating DAA treatment by health region of residence, March 2016 to September 2016</w:t>
      </w:r>
    </w:p>
    <w:p w14:paraId="2E21C8A6" w14:textId="5429B899" w:rsidR="00C253ED" w:rsidRDefault="00C253ED" w:rsidP="00C253ED">
      <w:pPr>
        <w:jc w:val="center"/>
      </w:pPr>
      <w:r w:rsidRPr="00AF080A">
        <w:rPr>
          <w:noProof/>
        </w:rPr>
        <w:drawing>
          <wp:inline distT="0" distB="0" distL="0" distR="0" wp14:anchorId="14C05819" wp14:editId="405D3E3E">
            <wp:extent cx="5838825" cy="38100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38825" cy="3810000"/>
                    </a:xfrm>
                    <a:prstGeom prst="rect">
                      <a:avLst/>
                    </a:prstGeom>
                    <a:noFill/>
                    <a:ln>
                      <a:noFill/>
                    </a:ln>
                  </pic:spPr>
                </pic:pic>
              </a:graphicData>
            </a:graphic>
          </wp:inline>
        </w:drawing>
      </w:r>
    </w:p>
    <w:p w14:paraId="611B4C90" w14:textId="354084F6" w:rsidR="00C253ED" w:rsidRDefault="00C253ED" w:rsidP="00C253ED">
      <w:pPr>
        <w:pStyle w:val="Caption"/>
        <w:ind w:right="283"/>
      </w:pPr>
      <w:r>
        <w:t xml:space="preserve">Figure </w:t>
      </w:r>
      <w:r w:rsidR="00C62955">
        <w:rPr>
          <w:noProof/>
        </w:rPr>
        <w:fldChar w:fldCharType="begin"/>
      </w:r>
      <w:r w:rsidR="00C62955">
        <w:rPr>
          <w:noProof/>
        </w:rPr>
        <w:instrText xml:space="preserve"> SEQ Figure \* ARABIC </w:instrText>
      </w:r>
      <w:r w:rsidR="00C62955">
        <w:rPr>
          <w:noProof/>
        </w:rPr>
        <w:fldChar w:fldCharType="separate"/>
      </w:r>
      <w:r>
        <w:rPr>
          <w:noProof/>
        </w:rPr>
        <w:t>7</w:t>
      </w:r>
      <w:r w:rsidR="00C62955">
        <w:rPr>
          <w:noProof/>
        </w:rPr>
        <w:fldChar w:fldCharType="end"/>
      </w:r>
      <w:r>
        <w:t xml:space="preserve">. Number and rate of WA residents initiating DAA treatment by health region of residence, </w:t>
      </w:r>
      <w:r w:rsidRPr="00807BBD">
        <w:t>October 201</w:t>
      </w:r>
      <w:r w:rsidR="00C67219">
        <w:t>9</w:t>
      </w:r>
      <w:r w:rsidRPr="00807BBD">
        <w:t xml:space="preserve"> to March 20</w:t>
      </w:r>
      <w:r w:rsidR="00C67219">
        <w:t>20</w:t>
      </w:r>
    </w:p>
    <w:p w14:paraId="59F14856" w14:textId="13B2893E" w:rsidR="00C67219" w:rsidRDefault="00C67219" w:rsidP="00C253ED">
      <w:pPr>
        <w:ind w:right="283"/>
        <w:jc w:val="center"/>
      </w:pPr>
      <w:r w:rsidRPr="00C67219">
        <w:rPr>
          <w:noProof/>
        </w:rPr>
        <w:drawing>
          <wp:inline distT="0" distB="0" distL="0" distR="0" wp14:anchorId="5688A426" wp14:editId="487433FE">
            <wp:extent cx="5835776" cy="380880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35776" cy="3808800"/>
                    </a:xfrm>
                    <a:prstGeom prst="rect">
                      <a:avLst/>
                    </a:prstGeom>
                    <a:noFill/>
                    <a:ln>
                      <a:noFill/>
                    </a:ln>
                  </pic:spPr>
                </pic:pic>
              </a:graphicData>
            </a:graphic>
          </wp:inline>
        </w:drawing>
      </w:r>
    </w:p>
    <w:p w14:paraId="2F2DCC6A" w14:textId="6358758D" w:rsidR="00C253ED" w:rsidRPr="000141D1" w:rsidRDefault="00C253ED" w:rsidP="00C253ED">
      <w:pPr>
        <w:ind w:right="283"/>
      </w:pPr>
      <w:r>
        <w:rPr>
          <w:sz w:val="16"/>
          <w:szCs w:val="16"/>
        </w:rPr>
        <w:t>Note</w:t>
      </w:r>
      <w:r w:rsidRPr="000141D1">
        <w:rPr>
          <w:sz w:val="16"/>
          <w:szCs w:val="16"/>
        </w:rPr>
        <w:t xml:space="preserve">: </w:t>
      </w:r>
      <w:r>
        <w:rPr>
          <w:sz w:val="16"/>
          <w:szCs w:val="16"/>
        </w:rPr>
        <w:t>Rate could not be calculated for the Kimberley</w:t>
      </w:r>
      <w:r w:rsidR="00C67219">
        <w:rPr>
          <w:sz w:val="16"/>
          <w:szCs w:val="16"/>
        </w:rPr>
        <w:t xml:space="preserve">, Midwest, </w:t>
      </w:r>
      <w:r>
        <w:rPr>
          <w:sz w:val="16"/>
          <w:szCs w:val="16"/>
        </w:rPr>
        <w:t xml:space="preserve">Pilbara </w:t>
      </w:r>
      <w:r w:rsidR="00C67219">
        <w:rPr>
          <w:sz w:val="16"/>
          <w:szCs w:val="16"/>
        </w:rPr>
        <w:t xml:space="preserve">and Wheatbelt </w:t>
      </w:r>
      <w:r>
        <w:rPr>
          <w:sz w:val="16"/>
          <w:szCs w:val="16"/>
        </w:rPr>
        <w:t>regions in the October 201</w:t>
      </w:r>
      <w:r w:rsidR="00C67219">
        <w:rPr>
          <w:sz w:val="16"/>
          <w:szCs w:val="16"/>
        </w:rPr>
        <w:t>9</w:t>
      </w:r>
      <w:r>
        <w:rPr>
          <w:sz w:val="16"/>
          <w:szCs w:val="16"/>
        </w:rPr>
        <w:t xml:space="preserve"> to March 20</w:t>
      </w:r>
      <w:r w:rsidR="00C67219">
        <w:rPr>
          <w:sz w:val="16"/>
          <w:szCs w:val="16"/>
        </w:rPr>
        <w:t>20</w:t>
      </w:r>
      <w:r>
        <w:rPr>
          <w:sz w:val="16"/>
          <w:szCs w:val="16"/>
        </w:rPr>
        <w:t xml:space="preserve"> period due to low numbers. </w:t>
      </w:r>
      <w:r w:rsidRPr="00C66106">
        <w:rPr>
          <w:sz w:val="16"/>
          <w:szCs w:val="16"/>
        </w:rPr>
        <w:t>95% CI = lower and upper confidence limits</w:t>
      </w:r>
      <w:r>
        <w:rPr>
          <w:sz w:val="16"/>
          <w:szCs w:val="16"/>
        </w:rPr>
        <w:t>.</w:t>
      </w:r>
    </w:p>
    <w:p w14:paraId="0B07D401" w14:textId="57F1C125" w:rsidR="00C253ED" w:rsidRDefault="00C253ED" w:rsidP="00C253ED">
      <w:pPr>
        <w:ind w:right="283"/>
      </w:pPr>
      <w:r>
        <w:lastRenderedPageBreak/>
        <w:t xml:space="preserve">In the first reporting period, the initiation rate in most regions was significantly higher than the rate for the state as a whole; the Goldfields and Pilbara were the only regions with a significantly lower initiation rate. In the current reporting period, the initiation rate in most regions was comparable to the rate for the state as a whole; the North </w:t>
      </w:r>
      <w:r w:rsidR="00A14F12">
        <w:t>M</w:t>
      </w:r>
      <w:r>
        <w:t>etro</w:t>
      </w:r>
      <w:r w:rsidR="00A14F12">
        <w:t>politan</w:t>
      </w:r>
      <w:r>
        <w:t xml:space="preserve"> was the only region with a significantly lower initiation rate and the Great Southern </w:t>
      </w:r>
      <w:r w:rsidR="00A12DE4">
        <w:t>was</w:t>
      </w:r>
      <w:r>
        <w:t xml:space="preserve"> the only region with a </w:t>
      </w:r>
      <w:r w:rsidR="00A14F12">
        <w:t>significantly</w:t>
      </w:r>
      <w:r>
        <w:t xml:space="preserve"> higher initiation rate (Figure 8).</w:t>
      </w:r>
    </w:p>
    <w:p w14:paraId="465CE781" w14:textId="2826ACE0" w:rsidR="00C253ED" w:rsidRDefault="00C253ED" w:rsidP="00C253ED">
      <w:pPr>
        <w:pStyle w:val="Caption"/>
        <w:ind w:right="283"/>
      </w:pPr>
      <w:r>
        <w:t xml:space="preserve">Figure </w:t>
      </w:r>
      <w:r w:rsidR="00C62955">
        <w:rPr>
          <w:noProof/>
        </w:rPr>
        <w:fldChar w:fldCharType="begin"/>
      </w:r>
      <w:r w:rsidR="00C62955">
        <w:rPr>
          <w:noProof/>
        </w:rPr>
        <w:instrText xml:space="preserve"> SEQ Figure \* ARABIC </w:instrText>
      </w:r>
      <w:r w:rsidR="00C62955">
        <w:rPr>
          <w:noProof/>
        </w:rPr>
        <w:fldChar w:fldCharType="separate"/>
      </w:r>
      <w:r>
        <w:rPr>
          <w:noProof/>
        </w:rPr>
        <w:t>8</w:t>
      </w:r>
      <w:r w:rsidR="00C62955">
        <w:rPr>
          <w:noProof/>
        </w:rPr>
        <w:fldChar w:fldCharType="end"/>
      </w:r>
      <w:r>
        <w:t xml:space="preserve">. Rate of WA residents initiating DAA treatment by health region of residence, </w:t>
      </w:r>
      <w:r w:rsidRPr="00961AAB">
        <w:t>March 2016 to September 2016</w:t>
      </w:r>
      <w:r>
        <w:t xml:space="preserve"> and October 201</w:t>
      </w:r>
      <w:r w:rsidR="002365C9">
        <w:t>9</w:t>
      </w:r>
      <w:r>
        <w:t xml:space="preserve"> to </w:t>
      </w:r>
      <w:r w:rsidRPr="00BE3B5F">
        <w:t>March 20</w:t>
      </w:r>
      <w:r w:rsidR="002365C9">
        <w:t>20</w:t>
      </w:r>
    </w:p>
    <w:p w14:paraId="23076224" w14:textId="6B218E48" w:rsidR="004312EB" w:rsidRDefault="004312EB" w:rsidP="00C253ED">
      <w:pPr>
        <w:ind w:right="283"/>
        <w:jc w:val="center"/>
      </w:pPr>
      <w:r w:rsidRPr="004312EB">
        <w:rPr>
          <w:noProof/>
        </w:rPr>
        <w:drawing>
          <wp:inline distT="0" distB="0" distL="0" distR="0" wp14:anchorId="0CB20B64" wp14:editId="3627D678">
            <wp:extent cx="6117084" cy="3992400"/>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7084" cy="3992400"/>
                    </a:xfrm>
                    <a:prstGeom prst="rect">
                      <a:avLst/>
                    </a:prstGeom>
                    <a:noFill/>
                    <a:ln>
                      <a:noFill/>
                    </a:ln>
                  </pic:spPr>
                </pic:pic>
              </a:graphicData>
            </a:graphic>
          </wp:inline>
        </w:drawing>
      </w:r>
    </w:p>
    <w:p w14:paraId="6C6AD193" w14:textId="4D656449" w:rsidR="00C253ED" w:rsidRPr="000141D1" w:rsidRDefault="00C253ED" w:rsidP="00C253ED">
      <w:pPr>
        <w:ind w:left="426" w:right="283" w:hanging="426"/>
      </w:pPr>
      <w:r w:rsidRPr="000141D1">
        <w:rPr>
          <w:sz w:val="16"/>
          <w:szCs w:val="16"/>
        </w:rPr>
        <w:t xml:space="preserve">Note: </w:t>
      </w:r>
      <w:r w:rsidRPr="004A7715">
        <w:rPr>
          <w:sz w:val="16"/>
          <w:szCs w:val="16"/>
        </w:rPr>
        <w:t xml:space="preserve">Rate could not be calculated for the </w:t>
      </w:r>
      <w:r w:rsidR="002365C9">
        <w:rPr>
          <w:sz w:val="16"/>
          <w:szCs w:val="16"/>
        </w:rPr>
        <w:t>he Kimberley, Midwest, Pilbara and Wheatbelt regions in the October 2019 to March 2020 period due to low numbers</w:t>
      </w:r>
      <w:r w:rsidRPr="004A7715">
        <w:rPr>
          <w:sz w:val="16"/>
          <w:szCs w:val="16"/>
        </w:rPr>
        <w:t>.</w:t>
      </w:r>
      <w:r>
        <w:rPr>
          <w:sz w:val="16"/>
          <w:szCs w:val="16"/>
        </w:rPr>
        <w:t xml:space="preserve"> </w:t>
      </w:r>
      <w:r w:rsidRPr="000A7742">
        <w:rPr>
          <w:sz w:val="16"/>
          <w:szCs w:val="16"/>
        </w:rPr>
        <w:t>95% CI = lower and upper confidence limits</w:t>
      </w:r>
      <w:r>
        <w:rPr>
          <w:sz w:val="16"/>
          <w:szCs w:val="16"/>
        </w:rPr>
        <w:t>.</w:t>
      </w:r>
    </w:p>
    <w:p w14:paraId="39FF8D99" w14:textId="77777777" w:rsidR="00DC3D43" w:rsidRDefault="00DC3D43">
      <w:pPr>
        <w:spacing w:after="0"/>
      </w:pPr>
      <w:r>
        <w:br w:type="page"/>
      </w:r>
    </w:p>
    <w:p w14:paraId="58F6F31B" w14:textId="1BE7F8A2" w:rsidR="00C253ED" w:rsidRDefault="00C253ED" w:rsidP="00C253ED">
      <w:pPr>
        <w:ind w:right="283"/>
      </w:pPr>
      <w:r w:rsidRPr="00073335">
        <w:lastRenderedPageBreak/>
        <w:t>In both reporting periods, high DAA treatment initiation rates were associated with historically high HCV notification rates (March 2016 to September 2016: r=0.78, n=10, p=0.00</w:t>
      </w:r>
      <w:r w:rsidR="00073335">
        <w:t>8</w:t>
      </w:r>
      <w:r w:rsidRPr="00073335">
        <w:t>; October 201</w:t>
      </w:r>
      <w:r w:rsidR="00073335">
        <w:t>9</w:t>
      </w:r>
      <w:r w:rsidRPr="00073335">
        <w:t xml:space="preserve"> to March 20</w:t>
      </w:r>
      <w:r w:rsidR="00073335">
        <w:t>20</w:t>
      </w:r>
      <w:r w:rsidRPr="00073335">
        <w:t>: r=0.9</w:t>
      </w:r>
      <w:r w:rsidR="00073335">
        <w:t>6</w:t>
      </w:r>
      <w:r w:rsidRPr="00073335">
        <w:t>, n=</w:t>
      </w:r>
      <w:r w:rsidR="00073335">
        <w:t>6</w:t>
      </w:r>
      <w:r w:rsidRPr="00073335">
        <w:t>, p=0.00</w:t>
      </w:r>
      <w:r w:rsidR="00073335">
        <w:t>3</w:t>
      </w:r>
      <w:r w:rsidRPr="00073335">
        <w:t>) (Figure 9).</w:t>
      </w:r>
    </w:p>
    <w:p w14:paraId="14D932A5" w14:textId="2745990B" w:rsidR="00C253ED" w:rsidRDefault="00C253ED" w:rsidP="00C253ED">
      <w:pPr>
        <w:pStyle w:val="Caption"/>
        <w:ind w:right="283"/>
      </w:pPr>
      <w:r w:rsidRPr="008A134E">
        <w:t xml:space="preserve">Figure </w:t>
      </w:r>
      <w:r w:rsidR="00C62955" w:rsidRPr="008A134E">
        <w:rPr>
          <w:noProof/>
        </w:rPr>
        <w:fldChar w:fldCharType="begin"/>
      </w:r>
      <w:r w:rsidR="00C62955" w:rsidRPr="008A134E">
        <w:rPr>
          <w:noProof/>
        </w:rPr>
        <w:instrText xml:space="preserve"> SEQ Figure \* ARABIC </w:instrText>
      </w:r>
      <w:r w:rsidR="00C62955" w:rsidRPr="008A134E">
        <w:rPr>
          <w:noProof/>
        </w:rPr>
        <w:fldChar w:fldCharType="separate"/>
      </w:r>
      <w:r w:rsidRPr="008A134E">
        <w:rPr>
          <w:noProof/>
        </w:rPr>
        <w:t>9</w:t>
      </w:r>
      <w:r w:rsidR="00C62955" w:rsidRPr="008A134E">
        <w:rPr>
          <w:noProof/>
        </w:rPr>
        <w:fldChar w:fldCharType="end"/>
      </w:r>
      <w:r w:rsidRPr="008A134E">
        <w:t>. Rate of WA residents initiating DAA treatment by rate of hepatitis C notifications and health region of residence, March 2016 to September 2016 and October 201</w:t>
      </w:r>
      <w:r w:rsidR="008A134E" w:rsidRPr="008A134E">
        <w:t>9</w:t>
      </w:r>
      <w:r w:rsidRPr="008A134E">
        <w:t xml:space="preserve"> to March 20</w:t>
      </w:r>
      <w:r w:rsidR="008A134E" w:rsidRPr="008A134E">
        <w:t>20</w:t>
      </w:r>
    </w:p>
    <w:p w14:paraId="574F4583" w14:textId="30C536A8" w:rsidR="007411E6" w:rsidRDefault="007411E6" w:rsidP="00C253ED">
      <w:r w:rsidRPr="007411E6">
        <w:rPr>
          <w:noProof/>
        </w:rPr>
        <w:drawing>
          <wp:inline distT="0" distB="0" distL="0" distR="0" wp14:anchorId="03780E19" wp14:editId="1EE96CBB">
            <wp:extent cx="6209665" cy="4042020"/>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09665" cy="4042020"/>
                    </a:xfrm>
                    <a:prstGeom prst="rect">
                      <a:avLst/>
                    </a:prstGeom>
                    <a:noFill/>
                    <a:ln>
                      <a:noFill/>
                    </a:ln>
                  </pic:spPr>
                </pic:pic>
              </a:graphicData>
            </a:graphic>
          </wp:inline>
        </w:drawing>
      </w:r>
    </w:p>
    <w:p w14:paraId="0E2A4077" w14:textId="169AD006" w:rsidR="00C253ED" w:rsidRDefault="00C253ED" w:rsidP="00C253ED">
      <w:pPr>
        <w:ind w:left="426" w:right="283" w:hanging="426"/>
        <w:rPr>
          <w:sz w:val="16"/>
          <w:szCs w:val="16"/>
        </w:rPr>
      </w:pPr>
      <w:r w:rsidRPr="00EE7DD9">
        <w:rPr>
          <w:sz w:val="16"/>
          <w:szCs w:val="16"/>
        </w:rPr>
        <w:t>Note: Rate = Annualised age</w:t>
      </w:r>
      <w:r>
        <w:rPr>
          <w:sz w:val="16"/>
          <w:szCs w:val="16"/>
        </w:rPr>
        <w:t>-adjusted</w:t>
      </w:r>
      <w:r w:rsidRPr="00EE7DD9">
        <w:rPr>
          <w:sz w:val="16"/>
          <w:szCs w:val="16"/>
        </w:rPr>
        <w:t xml:space="preserve"> rate per 100,000 population. </w:t>
      </w:r>
      <w:r>
        <w:rPr>
          <w:sz w:val="16"/>
          <w:szCs w:val="16"/>
        </w:rPr>
        <w:t>March</w:t>
      </w:r>
      <w:r w:rsidR="00430B6F">
        <w:rPr>
          <w:sz w:val="16"/>
          <w:szCs w:val="16"/>
        </w:rPr>
        <w:t xml:space="preserve"> 2016 to </w:t>
      </w:r>
      <w:r>
        <w:rPr>
          <w:sz w:val="16"/>
          <w:szCs w:val="16"/>
        </w:rPr>
        <w:t>September 2016 period n</w:t>
      </w:r>
      <w:r w:rsidRPr="00EE7DD9">
        <w:rPr>
          <w:sz w:val="16"/>
          <w:szCs w:val="16"/>
        </w:rPr>
        <w:t>otification rate = Average age</w:t>
      </w:r>
      <w:r>
        <w:rPr>
          <w:sz w:val="16"/>
          <w:szCs w:val="16"/>
        </w:rPr>
        <w:t>-adjusted</w:t>
      </w:r>
      <w:r w:rsidRPr="00EE7DD9">
        <w:rPr>
          <w:sz w:val="16"/>
          <w:szCs w:val="16"/>
        </w:rPr>
        <w:t xml:space="preserve"> notification rate per 100,000 population from 2013 to 201</w:t>
      </w:r>
      <w:r>
        <w:rPr>
          <w:sz w:val="16"/>
          <w:szCs w:val="16"/>
        </w:rPr>
        <w:t>5</w:t>
      </w:r>
      <w:r w:rsidRPr="00EE7DD9">
        <w:rPr>
          <w:sz w:val="16"/>
          <w:szCs w:val="16"/>
        </w:rPr>
        <w:t>.</w:t>
      </w:r>
      <w:r>
        <w:rPr>
          <w:sz w:val="16"/>
          <w:szCs w:val="16"/>
        </w:rPr>
        <w:t xml:space="preserve"> October 201</w:t>
      </w:r>
      <w:r w:rsidR="00A57F69">
        <w:rPr>
          <w:sz w:val="16"/>
          <w:szCs w:val="16"/>
        </w:rPr>
        <w:t>9</w:t>
      </w:r>
      <w:r w:rsidR="00430B6F">
        <w:rPr>
          <w:sz w:val="16"/>
          <w:szCs w:val="16"/>
        </w:rPr>
        <w:t xml:space="preserve"> to </w:t>
      </w:r>
      <w:r>
        <w:rPr>
          <w:sz w:val="16"/>
          <w:szCs w:val="16"/>
        </w:rPr>
        <w:t>March 20</w:t>
      </w:r>
      <w:r w:rsidR="00430B6F">
        <w:rPr>
          <w:sz w:val="16"/>
          <w:szCs w:val="16"/>
        </w:rPr>
        <w:t>20</w:t>
      </w:r>
      <w:r>
        <w:rPr>
          <w:sz w:val="16"/>
          <w:szCs w:val="16"/>
        </w:rPr>
        <w:t xml:space="preserve"> period notification r</w:t>
      </w:r>
      <w:r w:rsidRPr="000141D1">
        <w:rPr>
          <w:sz w:val="16"/>
          <w:szCs w:val="16"/>
        </w:rPr>
        <w:t>ate = </w:t>
      </w:r>
      <w:r>
        <w:rPr>
          <w:sz w:val="16"/>
          <w:szCs w:val="16"/>
        </w:rPr>
        <w:t>Average age-adjusted notification rate per 100,000 population from 201</w:t>
      </w:r>
      <w:r w:rsidR="00430B6F">
        <w:rPr>
          <w:sz w:val="16"/>
          <w:szCs w:val="16"/>
        </w:rPr>
        <w:t>7</w:t>
      </w:r>
      <w:r>
        <w:rPr>
          <w:sz w:val="16"/>
          <w:szCs w:val="16"/>
        </w:rPr>
        <w:t xml:space="preserve"> to 201</w:t>
      </w:r>
      <w:r w:rsidR="00430B6F">
        <w:rPr>
          <w:sz w:val="16"/>
          <w:szCs w:val="16"/>
        </w:rPr>
        <w:t>9</w:t>
      </w:r>
      <w:r>
        <w:rPr>
          <w:sz w:val="16"/>
          <w:szCs w:val="16"/>
        </w:rPr>
        <w:t>.</w:t>
      </w:r>
      <w:r w:rsidRPr="00EE7DD9">
        <w:t xml:space="preserve"> </w:t>
      </w:r>
      <w:r w:rsidR="00430B6F">
        <w:rPr>
          <w:sz w:val="16"/>
          <w:szCs w:val="16"/>
        </w:rPr>
        <w:t xml:space="preserve">Initiation rates </w:t>
      </w:r>
      <w:r w:rsidRPr="00EE7DD9">
        <w:rPr>
          <w:sz w:val="16"/>
          <w:szCs w:val="16"/>
        </w:rPr>
        <w:t>could not be calculated for the Kimberley</w:t>
      </w:r>
      <w:r w:rsidR="00430B6F">
        <w:rPr>
          <w:sz w:val="16"/>
          <w:szCs w:val="16"/>
        </w:rPr>
        <w:t xml:space="preserve">, Midwest, </w:t>
      </w:r>
      <w:r w:rsidRPr="00EE7DD9">
        <w:rPr>
          <w:sz w:val="16"/>
          <w:szCs w:val="16"/>
        </w:rPr>
        <w:t xml:space="preserve">Pilbara </w:t>
      </w:r>
      <w:r w:rsidR="00430B6F">
        <w:rPr>
          <w:sz w:val="16"/>
          <w:szCs w:val="16"/>
        </w:rPr>
        <w:t xml:space="preserve">and Wheatbelt </w:t>
      </w:r>
      <w:r w:rsidRPr="00EE7DD9">
        <w:rPr>
          <w:sz w:val="16"/>
          <w:szCs w:val="16"/>
        </w:rPr>
        <w:t xml:space="preserve">regions in the </w:t>
      </w:r>
      <w:r w:rsidRPr="00807E33">
        <w:rPr>
          <w:sz w:val="16"/>
          <w:szCs w:val="16"/>
        </w:rPr>
        <w:t>October 201</w:t>
      </w:r>
      <w:r w:rsidR="00430B6F">
        <w:rPr>
          <w:sz w:val="16"/>
          <w:szCs w:val="16"/>
        </w:rPr>
        <w:t xml:space="preserve">9 to </w:t>
      </w:r>
      <w:r w:rsidRPr="00807E33">
        <w:rPr>
          <w:sz w:val="16"/>
          <w:szCs w:val="16"/>
        </w:rPr>
        <w:t>March 20</w:t>
      </w:r>
      <w:r w:rsidR="00430B6F">
        <w:rPr>
          <w:sz w:val="16"/>
          <w:szCs w:val="16"/>
        </w:rPr>
        <w:t>20</w:t>
      </w:r>
      <w:r w:rsidRPr="00807E33">
        <w:rPr>
          <w:sz w:val="16"/>
          <w:szCs w:val="16"/>
        </w:rPr>
        <w:t xml:space="preserve"> </w:t>
      </w:r>
      <w:r w:rsidRPr="00EE7DD9">
        <w:rPr>
          <w:sz w:val="16"/>
          <w:szCs w:val="16"/>
        </w:rPr>
        <w:t>period due to low numbers.</w:t>
      </w:r>
    </w:p>
    <w:p w14:paraId="05F7DB24" w14:textId="77777777" w:rsidR="00C253ED" w:rsidRPr="00012A24" w:rsidRDefault="00C253ED" w:rsidP="00C253ED">
      <w:pPr>
        <w:pStyle w:val="Heading2"/>
        <w:ind w:right="283"/>
      </w:pPr>
      <w:bookmarkStart w:id="23" w:name="_Toc486598323"/>
      <w:bookmarkStart w:id="24" w:name="_Toc501112773"/>
      <w:bookmarkStart w:id="25" w:name="_Toc60839113"/>
      <w:bookmarkStart w:id="26" w:name="_Toc485640333"/>
      <w:r>
        <w:t>DAA treatment initiations by regimen and dispensing characteristics</w:t>
      </w:r>
      <w:bookmarkEnd w:id="23"/>
      <w:bookmarkEnd w:id="24"/>
      <w:bookmarkEnd w:id="25"/>
    </w:p>
    <w:p w14:paraId="109EB99D" w14:textId="5674F847" w:rsidR="00C253ED" w:rsidRDefault="00C253ED" w:rsidP="00C253ED">
      <w:pPr>
        <w:pStyle w:val="Caption"/>
        <w:ind w:right="283"/>
        <w:rPr>
          <w:b w:val="0"/>
          <w:bCs w:val="0"/>
          <w:sz w:val="24"/>
          <w:szCs w:val="22"/>
        </w:rPr>
      </w:pPr>
      <w:r>
        <w:rPr>
          <w:b w:val="0"/>
          <w:bCs w:val="0"/>
          <w:sz w:val="24"/>
          <w:szCs w:val="22"/>
        </w:rPr>
        <w:t>In the first reporting period, s</w:t>
      </w:r>
      <w:r w:rsidRPr="00CF2691">
        <w:rPr>
          <w:b w:val="0"/>
          <w:bCs w:val="0"/>
          <w:sz w:val="24"/>
          <w:szCs w:val="22"/>
        </w:rPr>
        <w:t>ofosbuvir + ledipasvir and sofosbuvir + daclatasvir were the two most commonly prescribed DAA treatment regimens in WA (Figure 1</w:t>
      </w:r>
      <w:r>
        <w:rPr>
          <w:b w:val="0"/>
          <w:bCs w:val="0"/>
          <w:sz w:val="24"/>
          <w:szCs w:val="22"/>
        </w:rPr>
        <w:t>0</w:t>
      </w:r>
      <w:r w:rsidRPr="00CF2691">
        <w:rPr>
          <w:b w:val="0"/>
          <w:bCs w:val="0"/>
          <w:sz w:val="24"/>
          <w:szCs w:val="22"/>
        </w:rPr>
        <w:t>).</w:t>
      </w:r>
      <w:r>
        <w:rPr>
          <w:b w:val="0"/>
          <w:bCs w:val="0"/>
          <w:sz w:val="24"/>
          <w:szCs w:val="22"/>
        </w:rPr>
        <w:t xml:space="preserve"> </w:t>
      </w:r>
      <w:r w:rsidRPr="003E1770">
        <w:rPr>
          <w:b w:val="0"/>
          <w:bCs w:val="0"/>
          <w:sz w:val="24"/>
          <w:szCs w:val="22"/>
        </w:rPr>
        <w:t>Sofosbuvir + velpatasvir</w:t>
      </w:r>
      <w:r>
        <w:rPr>
          <w:b w:val="0"/>
          <w:bCs w:val="0"/>
          <w:sz w:val="24"/>
          <w:szCs w:val="22"/>
        </w:rPr>
        <w:t xml:space="preserve"> </w:t>
      </w:r>
      <w:r w:rsidRPr="003E1770">
        <w:rPr>
          <w:b w:val="0"/>
          <w:bCs w:val="0"/>
          <w:sz w:val="24"/>
          <w:szCs w:val="22"/>
        </w:rPr>
        <w:t>was the first pan-genotypic drug regimen to be listed on the PBS in August 2017</w:t>
      </w:r>
      <w:r>
        <w:rPr>
          <w:b w:val="0"/>
          <w:bCs w:val="0"/>
          <w:sz w:val="24"/>
          <w:szCs w:val="22"/>
        </w:rPr>
        <w:t xml:space="preserve">, followed by </w:t>
      </w:r>
      <w:r w:rsidRPr="00024C0E">
        <w:rPr>
          <w:b w:val="0"/>
          <w:bCs w:val="0"/>
          <w:sz w:val="24"/>
          <w:szCs w:val="22"/>
        </w:rPr>
        <w:t>glecaprevir</w:t>
      </w:r>
      <w:r>
        <w:rPr>
          <w:b w:val="0"/>
          <w:bCs w:val="0"/>
          <w:sz w:val="24"/>
          <w:szCs w:val="22"/>
        </w:rPr>
        <w:t xml:space="preserve"> + </w:t>
      </w:r>
      <w:r w:rsidRPr="00024C0E">
        <w:rPr>
          <w:b w:val="0"/>
          <w:bCs w:val="0"/>
          <w:sz w:val="24"/>
          <w:szCs w:val="22"/>
        </w:rPr>
        <w:t>pibrentasvir</w:t>
      </w:r>
      <w:r>
        <w:rPr>
          <w:b w:val="0"/>
          <w:bCs w:val="0"/>
          <w:sz w:val="24"/>
          <w:szCs w:val="22"/>
        </w:rPr>
        <w:t xml:space="preserve"> in August 2018</w:t>
      </w:r>
      <w:r w:rsidR="00D600D9">
        <w:rPr>
          <w:b w:val="0"/>
          <w:bCs w:val="0"/>
          <w:sz w:val="24"/>
          <w:szCs w:val="22"/>
        </w:rPr>
        <w:t xml:space="preserve"> and s</w:t>
      </w:r>
      <w:r w:rsidR="00D600D9" w:rsidRPr="00D600D9">
        <w:rPr>
          <w:b w:val="0"/>
          <w:bCs w:val="0"/>
          <w:sz w:val="24"/>
          <w:szCs w:val="22"/>
        </w:rPr>
        <w:t xml:space="preserve">ofosbuvir </w:t>
      </w:r>
      <w:r w:rsidR="00D600D9">
        <w:rPr>
          <w:b w:val="0"/>
          <w:bCs w:val="0"/>
          <w:sz w:val="24"/>
          <w:szCs w:val="22"/>
        </w:rPr>
        <w:t>+</w:t>
      </w:r>
      <w:r w:rsidR="00D600D9" w:rsidRPr="00D600D9">
        <w:rPr>
          <w:b w:val="0"/>
          <w:bCs w:val="0"/>
          <w:sz w:val="24"/>
          <w:szCs w:val="22"/>
        </w:rPr>
        <w:t xml:space="preserve"> velpatasvir </w:t>
      </w:r>
      <w:r w:rsidR="00D600D9">
        <w:rPr>
          <w:b w:val="0"/>
          <w:bCs w:val="0"/>
          <w:sz w:val="24"/>
          <w:szCs w:val="22"/>
        </w:rPr>
        <w:t>+</w:t>
      </w:r>
      <w:r w:rsidR="00D600D9" w:rsidRPr="00D600D9">
        <w:rPr>
          <w:b w:val="0"/>
          <w:bCs w:val="0"/>
          <w:sz w:val="24"/>
          <w:szCs w:val="22"/>
        </w:rPr>
        <w:t xml:space="preserve"> voxilaprevir</w:t>
      </w:r>
      <w:r w:rsidR="00D600D9">
        <w:rPr>
          <w:b w:val="0"/>
          <w:bCs w:val="0"/>
          <w:sz w:val="24"/>
          <w:szCs w:val="22"/>
        </w:rPr>
        <w:t xml:space="preserve"> in April 2019</w:t>
      </w:r>
      <w:r w:rsidR="00847A0A">
        <w:rPr>
          <w:b w:val="0"/>
          <w:bCs w:val="0"/>
          <w:sz w:val="24"/>
          <w:szCs w:val="22"/>
        </w:rPr>
        <w:t xml:space="preserve">. </w:t>
      </w:r>
      <w:r>
        <w:rPr>
          <w:b w:val="0"/>
          <w:bCs w:val="0"/>
          <w:sz w:val="24"/>
          <w:szCs w:val="22"/>
        </w:rPr>
        <w:t xml:space="preserve">In the current reporting period, </w:t>
      </w:r>
      <w:r w:rsidR="00847A0A">
        <w:rPr>
          <w:b w:val="0"/>
          <w:bCs w:val="0"/>
          <w:sz w:val="24"/>
          <w:szCs w:val="22"/>
        </w:rPr>
        <w:t>s</w:t>
      </w:r>
      <w:r w:rsidR="00847A0A" w:rsidRPr="00847A0A">
        <w:rPr>
          <w:b w:val="0"/>
          <w:bCs w:val="0"/>
          <w:sz w:val="24"/>
          <w:szCs w:val="22"/>
        </w:rPr>
        <w:t xml:space="preserve">ofosbuvir + velpatasvir </w:t>
      </w:r>
      <w:r w:rsidR="00847A0A">
        <w:rPr>
          <w:b w:val="0"/>
          <w:bCs w:val="0"/>
          <w:sz w:val="24"/>
          <w:szCs w:val="22"/>
        </w:rPr>
        <w:t>and</w:t>
      </w:r>
      <w:r w:rsidR="00847A0A" w:rsidRPr="00847A0A">
        <w:rPr>
          <w:b w:val="0"/>
          <w:bCs w:val="0"/>
          <w:sz w:val="24"/>
          <w:szCs w:val="22"/>
        </w:rPr>
        <w:t xml:space="preserve"> glecaprevir + pibrentasvir</w:t>
      </w:r>
      <w:r w:rsidR="00847A0A">
        <w:rPr>
          <w:b w:val="0"/>
          <w:bCs w:val="0"/>
          <w:sz w:val="24"/>
          <w:szCs w:val="22"/>
        </w:rPr>
        <w:t xml:space="preserve"> were </w:t>
      </w:r>
      <w:r w:rsidRPr="003E1770">
        <w:rPr>
          <w:b w:val="0"/>
          <w:bCs w:val="0"/>
          <w:sz w:val="24"/>
          <w:szCs w:val="22"/>
        </w:rPr>
        <w:t>the most commonly prescribed DAA treatment regimen</w:t>
      </w:r>
      <w:r>
        <w:rPr>
          <w:b w:val="0"/>
          <w:bCs w:val="0"/>
          <w:sz w:val="24"/>
          <w:szCs w:val="22"/>
        </w:rPr>
        <w:t>s</w:t>
      </w:r>
      <w:r w:rsidRPr="003E1770">
        <w:rPr>
          <w:b w:val="0"/>
          <w:bCs w:val="0"/>
          <w:sz w:val="24"/>
          <w:szCs w:val="22"/>
        </w:rPr>
        <w:t xml:space="preserve"> </w:t>
      </w:r>
      <w:r>
        <w:rPr>
          <w:b w:val="0"/>
          <w:bCs w:val="0"/>
          <w:sz w:val="24"/>
          <w:szCs w:val="22"/>
        </w:rPr>
        <w:t xml:space="preserve">in WA </w:t>
      </w:r>
      <w:r w:rsidRPr="003E1770">
        <w:rPr>
          <w:b w:val="0"/>
          <w:bCs w:val="0"/>
          <w:sz w:val="24"/>
          <w:szCs w:val="22"/>
        </w:rPr>
        <w:t>(Figure 1</w:t>
      </w:r>
      <w:r>
        <w:rPr>
          <w:b w:val="0"/>
          <w:bCs w:val="0"/>
          <w:sz w:val="24"/>
          <w:szCs w:val="22"/>
        </w:rPr>
        <w:t>1</w:t>
      </w:r>
      <w:r w:rsidRPr="003E1770">
        <w:rPr>
          <w:b w:val="0"/>
          <w:bCs w:val="0"/>
          <w:sz w:val="24"/>
          <w:szCs w:val="22"/>
        </w:rPr>
        <w:t>)</w:t>
      </w:r>
      <w:r>
        <w:rPr>
          <w:b w:val="0"/>
          <w:bCs w:val="0"/>
          <w:sz w:val="24"/>
          <w:szCs w:val="22"/>
        </w:rPr>
        <w:t>.</w:t>
      </w:r>
    </w:p>
    <w:p w14:paraId="34438517" w14:textId="77777777" w:rsidR="00C253ED" w:rsidRDefault="00C253ED" w:rsidP="00C253ED">
      <w:pPr>
        <w:pStyle w:val="Caption"/>
        <w:ind w:right="283"/>
      </w:pPr>
      <w:r>
        <w:br w:type="page"/>
      </w:r>
      <w:r w:rsidRPr="00A70253">
        <w:lastRenderedPageBreak/>
        <w:t xml:space="preserve">Figure </w:t>
      </w:r>
      <w:r w:rsidR="00C62955">
        <w:rPr>
          <w:noProof/>
        </w:rPr>
        <w:fldChar w:fldCharType="begin"/>
      </w:r>
      <w:r w:rsidR="00C62955">
        <w:rPr>
          <w:noProof/>
        </w:rPr>
        <w:instrText xml:space="preserve"> SEQ Figure \* ARABIC </w:instrText>
      </w:r>
      <w:r w:rsidR="00C62955">
        <w:rPr>
          <w:noProof/>
        </w:rPr>
        <w:fldChar w:fldCharType="separate"/>
      </w:r>
      <w:r>
        <w:rPr>
          <w:noProof/>
        </w:rPr>
        <w:t>10</w:t>
      </w:r>
      <w:r w:rsidR="00C62955">
        <w:rPr>
          <w:noProof/>
        </w:rPr>
        <w:fldChar w:fldCharType="end"/>
      </w:r>
      <w:r>
        <w:t>.</w:t>
      </w:r>
      <w:r w:rsidRPr="00A70253">
        <w:t xml:space="preserve"> </w:t>
      </w:r>
      <w:r w:rsidRPr="00541996">
        <w:t xml:space="preserve">Proportion of </w:t>
      </w:r>
      <w:r>
        <w:t>WA residents</w:t>
      </w:r>
      <w:r w:rsidRPr="00541996">
        <w:t xml:space="preserve"> initiating DAA treatment by </w:t>
      </w:r>
      <w:r>
        <w:t>regimen</w:t>
      </w:r>
      <w:r w:rsidRPr="00A70253">
        <w:t>, March</w:t>
      </w:r>
      <w:r>
        <w:t xml:space="preserve"> 2016</w:t>
      </w:r>
      <w:r w:rsidRPr="00A70253">
        <w:t xml:space="preserve"> to September 2016</w:t>
      </w:r>
    </w:p>
    <w:p w14:paraId="1D55A105" w14:textId="25F26EE7" w:rsidR="00C253ED" w:rsidRDefault="00C253ED" w:rsidP="00C253ED">
      <w:pPr>
        <w:ind w:right="283"/>
        <w:jc w:val="center"/>
      </w:pPr>
      <w:r w:rsidRPr="0011751F">
        <w:rPr>
          <w:noProof/>
        </w:rPr>
        <w:drawing>
          <wp:inline distT="0" distB="0" distL="0" distR="0" wp14:anchorId="101E1634" wp14:editId="06E54E1D">
            <wp:extent cx="6115050" cy="399097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5050" cy="3990975"/>
                    </a:xfrm>
                    <a:prstGeom prst="rect">
                      <a:avLst/>
                    </a:prstGeom>
                    <a:noFill/>
                    <a:ln>
                      <a:noFill/>
                    </a:ln>
                  </pic:spPr>
                </pic:pic>
              </a:graphicData>
            </a:graphic>
          </wp:inline>
        </w:drawing>
      </w:r>
    </w:p>
    <w:p w14:paraId="144DD8FB" w14:textId="7BD398BB" w:rsidR="00B27367" w:rsidRPr="00B27367" w:rsidRDefault="00C253ED" w:rsidP="00B27367">
      <w:pPr>
        <w:pStyle w:val="Caption"/>
        <w:ind w:right="283"/>
      </w:pPr>
      <w:r w:rsidRPr="00A70253">
        <w:t xml:space="preserve">Figure </w:t>
      </w:r>
      <w:r w:rsidR="00C62955">
        <w:rPr>
          <w:noProof/>
        </w:rPr>
        <w:fldChar w:fldCharType="begin"/>
      </w:r>
      <w:r w:rsidR="00C62955">
        <w:rPr>
          <w:noProof/>
        </w:rPr>
        <w:instrText xml:space="preserve"> SEQ Figure \* ARABIC </w:instrText>
      </w:r>
      <w:r w:rsidR="00C62955">
        <w:rPr>
          <w:noProof/>
        </w:rPr>
        <w:fldChar w:fldCharType="separate"/>
      </w:r>
      <w:r>
        <w:rPr>
          <w:noProof/>
        </w:rPr>
        <w:t>11</w:t>
      </w:r>
      <w:r w:rsidR="00C62955">
        <w:rPr>
          <w:noProof/>
        </w:rPr>
        <w:fldChar w:fldCharType="end"/>
      </w:r>
      <w:r>
        <w:t>.</w:t>
      </w:r>
      <w:r w:rsidRPr="00A70253">
        <w:t xml:space="preserve"> </w:t>
      </w:r>
      <w:r w:rsidRPr="00541996">
        <w:t xml:space="preserve">Proportion of </w:t>
      </w:r>
      <w:r>
        <w:t>WA residents</w:t>
      </w:r>
      <w:r w:rsidRPr="00541996">
        <w:t xml:space="preserve"> initiating DAA treatment by </w:t>
      </w:r>
      <w:r>
        <w:t>regimen</w:t>
      </w:r>
      <w:r w:rsidRPr="00A70253">
        <w:t xml:space="preserve">, </w:t>
      </w:r>
      <w:r>
        <w:t>October 201</w:t>
      </w:r>
      <w:r w:rsidR="00B27367">
        <w:t>9</w:t>
      </w:r>
      <w:r w:rsidRPr="00A70253">
        <w:t xml:space="preserve"> to </w:t>
      </w:r>
      <w:r w:rsidRPr="005301B8">
        <w:t>March 20</w:t>
      </w:r>
      <w:r w:rsidR="00B27367">
        <w:t>20</w:t>
      </w:r>
      <w:r w:rsidR="00B27367" w:rsidRPr="00B27367">
        <w:rPr>
          <w:noProof/>
        </w:rPr>
        <w:drawing>
          <wp:inline distT="0" distB="0" distL="0" distR="0" wp14:anchorId="0A4EC535" wp14:editId="24C4BBA8">
            <wp:extent cx="6117084" cy="3992400"/>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17084" cy="3992400"/>
                    </a:xfrm>
                    <a:prstGeom prst="rect">
                      <a:avLst/>
                    </a:prstGeom>
                    <a:noFill/>
                    <a:ln>
                      <a:noFill/>
                    </a:ln>
                  </pic:spPr>
                </pic:pic>
              </a:graphicData>
            </a:graphic>
          </wp:inline>
        </w:drawing>
      </w:r>
    </w:p>
    <w:p w14:paraId="4D6FFB8E" w14:textId="77777777" w:rsidR="00C253ED" w:rsidRDefault="00C253ED" w:rsidP="00C253ED">
      <w:pPr>
        <w:pStyle w:val="Caption"/>
        <w:ind w:right="283"/>
        <w:rPr>
          <w:b w:val="0"/>
          <w:bCs w:val="0"/>
          <w:sz w:val="24"/>
          <w:szCs w:val="22"/>
        </w:rPr>
      </w:pPr>
      <w:r w:rsidRPr="008B194D">
        <w:rPr>
          <w:b w:val="0"/>
          <w:bCs w:val="0"/>
          <w:sz w:val="24"/>
          <w:szCs w:val="22"/>
        </w:rPr>
        <w:lastRenderedPageBreak/>
        <w:t xml:space="preserve">These treatment regimens </w:t>
      </w:r>
      <w:r>
        <w:rPr>
          <w:b w:val="0"/>
          <w:bCs w:val="0"/>
          <w:sz w:val="24"/>
          <w:szCs w:val="22"/>
        </w:rPr>
        <w:t xml:space="preserve">were </w:t>
      </w:r>
      <w:r w:rsidRPr="008B194D">
        <w:rPr>
          <w:b w:val="0"/>
          <w:bCs w:val="0"/>
          <w:sz w:val="24"/>
          <w:szCs w:val="22"/>
        </w:rPr>
        <w:t xml:space="preserve">available through </w:t>
      </w:r>
      <w:r>
        <w:rPr>
          <w:b w:val="0"/>
          <w:bCs w:val="0"/>
          <w:sz w:val="24"/>
          <w:szCs w:val="22"/>
        </w:rPr>
        <w:t xml:space="preserve">both </w:t>
      </w:r>
      <w:r w:rsidRPr="008B194D">
        <w:rPr>
          <w:b w:val="0"/>
          <w:bCs w:val="0"/>
          <w:sz w:val="24"/>
          <w:szCs w:val="22"/>
        </w:rPr>
        <w:t xml:space="preserve">the PBS General Schedule (‘S85’) and the </w:t>
      </w:r>
      <w:r>
        <w:rPr>
          <w:b w:val="0"/>
          <w:bCs w:val="0"/>
          <w:sz w:val="24"/>
          <w:szCs w:val="22"/>
        </w:rPr>
        <w:t>S</w:t>
      </w:r>
      <w:r w:rsidRPr="008B194D">
        <w:rPr>
          <w:b w:val="0"/>
          <w:bCs w:val="0"/>
          <w:sz w:val="24"/>
          <w:szCs w:val="22"/>
        </w:rPr>
        <w:t>ection 100 (S100) Highly Specialised Drugs (HSD) Program to enable dispensing through community pharmacies as well as public hospital and private hospital pharmacies.</w:t>
      </w:r>
    </w:p>
    <w:p w14:paraId="5C1257EB" w14:textId="77777777" w:rsidR="00C253ED" w:rsidRDefault="00C253ED" w:rsidP="00C253ED">
      <w:pPr>
        <w:ind w:right="283"/>
      </w:pPr>
      <w:r>
        <w:t xml:space="preserve">While </w:t>
      </w:r>
      <w:r w:rsidRPr="00BE681C">
        <w:t xml:space="preserve">approximately equal proportions of WA residents were dispensed DAA treatment through the General Schedule and the S100 HSD </w:t>
      </w:r>
      <w:r>
        <w:t xml:space="preserve">Public </w:t>
      </w:r>
      <w:r w:rsidRPr="00BE681C">
        <w:t>Program</w:t>
      </w:r>
      <w:r>
        <w:t xml:space="preserve"> in the first reporting period, the majority of residents in the current reporting period were dispensed treatment through the General Schedule (Figure 12). Similarly, while </w:t>
      </w:r>
      <w:r w:rsidRPr="00BE681C">
        <w:t xml:space="preserve">approximately equal proportions </w:t>
      </w:r>
      <w:r>
        <w:t xml:space="preserve">of residents </w:t>
      </w:r>
      <w:r w:rsidRPr="00BE681C">
        <w:t>were dispensed treatment from community and public hospital pharmacies</w:t>
      </w:r>
      <w:r>
        <w:t xml:space="preserve"> in the first reporting period, the majority of residents in the </w:t>
      </w:r>
      <w:r w:rsidRPr="00BE681C">
        <w:t>current reporting period</w:t>
      </w:r>
      <w:r>
        <w:t xml:space="preserve"> </w:t>
      </w:r>
      <w:r w:rsidRPr="00BE681C">
        <w:t xml:space="preserve">were dispensed treatment from community pharmacies (Figure </w:t>
      </w:r>
      <w:r>
        <w:t>13</w:t>
      </w:r>
      <w:r w:rsidRPr="00BE681C">
        <w:t>).</w:t>
      </w:r>
    </w:p>
    <w:p w14:paraId="46C3AA56" w14:textId="7EC6B996" w:rsidR="00C253ED" w:rsidRDefault="00C253ED" w:rsidP="00C253ED">
      <w:pPr>
        <w:pStyle w:val="Caption"/>
        <w:ind w:right="283"/>
      </w:pPr>
      <w:r w:rsidRPr="00B12D69">
        <w:t xml:space="preserve">Figure </w:t>
      </w:r>
      <w:r w:rsidR="00C62955">
        <w:rPr>
          <w:noProof/>
        </w:rPr>
        <w:fldChar w:fldCharType="begin"/>
      </w:r>
      <w:r w:rsidR="00C62955">
        <w:rPr>
          <w:noProof/>
        </w:rPr>
        <w:instrText xml:space="preserve"> SEQ Figure \* ARABIC </w:instrText>
      </w:r>
      <w:r w:rsidR="00C62955">
        <w:rPr>
          <w:noProof/>
        </w:rPr>
        <w:fldChar w:fldCharType="separate"/>
      </w:r>
      <w:r>
        <w:rPr>
          <w:noProof/>
        </w:rPr>
        <w:t>12</w:t>
      </w:r>
      <w:r w:rsidR="00C62955">
        <w:rPr>
          <w:noProof/>
        </w:rPr>
        <w:fldChar w:fldCharType="end"/>
      </w:r>
      <w:r w:rsidRPr="00B12D69">
        <w:t>. Proportion of WA residents initiating DAA treatment by program code and reporting</w:t>
      </w:r>
      <w:r>
        <w:t xml:space="preserve"> period</w:t>
      </w:r>
      <w:r w:rsidRPr="00B51D54">
        <w:t xml:space="preserve">, </w:t>
      </w:r>
      <w:r w:rsidRPr="0010135C">
        <w:t xml:space="preserve">March 2016 to </w:t>
      </w:r>
      <w:r w:rsidRPr="00481AA2">
        <w:t>March 20</w:t>
      </w:r>
      <w:r w:rsidR="008E41EC">
        <w:t>20</w:t>
      </w:r>
    </w:p>
    <w:p w14:paraId="521414DB" w14:textId="78E60314" w:rsidR="008E41EC" w:rsidRDefault="008E41EC" w:rsidP="00C253ED">
      <w:pPr>
        <w:ind w:right="283"/>
        <w:jc w:val="center"/>
      </w:pPr>
      <w:r w:rsidRPr="008E41EC">
        <w:rPr>
          <w:noProof/>
        </w:rPr>
        <w:drawing>
          <wp:inline distT="0" distB="0" distL="0" distR="0" wp14:anchorId="03D294B6" wp14:editId="5EFA5DA4">
            <wp:extent cx="6117084" cy="3992400"/>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17084" cy="3992400"/>
                    </a:xfrm>
                    <a:prstGeom prst="rect">
                      <a:avLst/>
                    </a:prstGeom>
                    <a:noFill/>
                    <a:ln>
                      <a:noFill/>
                    </a:ln>
                  </pic:spPr>
                </pic:pic>
              </a:graphicData>
            </a:graphic>
          </wp:inline>
        </w:drawing>
      </w:r>
    </w:p>
    <w:p w14:paraId="21044A02" w14:textId="42DB4BBA" w:rsidR="00C253ED" w:rsidRDefault="00C253ED" w:rsidP="00C253ED">
      <w:pPr>
        <w:pStyle w:val="Caption"/>
        <w:ind w:right="283"/>
      </w:pPr>
      <w:r>
        <w:br w:type="page"/>
      </w:r>
      <w:r w:rsidRPr="00B12D69">
        <w:lastRenderedPageBreak/>
        <w:t xml:space="preserve">Figure </w:t>
      </w:r>
      <w:r w:rsidR="00C62955">
        <w:rPr>
          <w:noProof/>
        </w:rPr>
        <w:fldChar w:fldCharType="begin"/>
      </w:r>
      <w:r w:rsidR="00C62955">
        <w:rPr>
          <w:noProof/>
        </w:rPr>
        <w:instrText xml:space="preserve"> SEQ Figure \* ARABIC </w:instrText>
      </w:r>
      <w:r w:rsidR="00C62955">
        <w:rPr>
          <w:noProof/>
        </w:rPr>
        <w:fldChar w:fldCharType="separate"/>
      </w:r>
      <w:r>
        <w:rPr>
          <w:noProof/>
        </w:rPr>
        <w:t>13</w:t>
      </w:r>
      <w:r w:rsidR="00C62955">
        <w:rPr>
          <w:noProof/>
        </w:rPr>
        <w:fldChar w:fldCharType="end"/>
      </w:r>
      <w:r w:rsidRPr="00B12D69">
        <w:t>. Proportion of WA residents initiating DAA treatment by pharmacy type and reporting</w:t>
      </w:r>
      <w:r>
        <w:t xml:space="preserve"> period</w:t>
      </w:r>
      <w:r w:rsidRPr="00B51D54">
        <w:t xml:space="preserve">, </w:t>
      </w:r>
      <w:r w:rsidRPr="0010135C">
        <w:t xml:space="preserve">March 2016 to </w:t>
      </w:r>
      <w:r w:rsidRPr="00481AA2">
        <w:t xml:space="preserve">March </w:t>
      </w:r>
      <w:r w:rsidR="00353FB1">
        <w:t>2020</w:t>
      </w:r>
    </w:p>
    <w:p w14:paraId="121D6394" w14:textId="4C25C67D" w:rsidR="00353FB1" w:rsidRDefault="00353FB1" w:rsidP="00C253ED">
      <w:pPr>
        <w:ind w:right="283"/>
        <w:jc w:val="center"/>
      </w:pPr>
      <w:r w:rsidRPr="00353FB1">
        <w:rPr>
          <w:noProof/>
        </w:rPr>
        <w:drawing>
          <wp:inline distT="0" distB="0" distL="0" distR="0" wp14:anchorId="25482215" wp14:editId="3ACA42F2">
            <wp:extent cx="6117084" cy="3992400"/>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7084" cy="3992400"/>
                    </a:xfrm>
                    <a:prstGeom prst="rect">
                      <a:avLst/>
                    </a:prstGeom>
                    <a:noFill/>
                    <a:ln>
                      <a:noFill/>
                    </a:ln>
                  </pic:spPr>
                </pic:pic>
              </a:graphicData>
            </a:graphic>
          </wp:inline>
        </w:drawing>
      </w:r>
    </w:p>
    <w:p w14:paraId="2C68988F" w14:textId="77777777" w:rsidR="00C253ED" w:rsidRPr="002E7AAA" w:rsidRDefault="00C253ED" w:rsidP="00C253ED">
      <w:pPr>
        <w:ind w:left="426" w:right="283" w:hanging="426"/>
      </w:pPr>
      <w:r w:rsidRPr="002E7AAA">
        <w:rPr>
          <w:sz w:val="16"/>
          <w:szCs w:val="16"/>
        </w:rPr>
        <w:t xml:space="preserve">Note: </w:t>
      </w:r>
      <w:r>
        <w:rPr>
          <w:sz w:val="16"/>
          <w:szCs w:val="16"/>
        </w:rPr>
        <w:t>Others include private hospitals and friendly societies.</w:t>
      </w:r>
    </w:p>
    <w:p w14:paraId="43B18256" w14:textId="77777777" w:rsidR="00C253ED" w:rsidRPr="002E097A" w:rsidRDefault="00C253ED" w:rsidP="00C253ED">
      <w:r>
        <w:t>I</w:t>
      </w:r>
      <w:r w:rsidRPr="002E097A">
        <w:t>n the first reporting period</w:t>
      </w:r>
      <w:r>
        <w:t>, o</w:t>
      </w:r>
      <w:r w:rsidRPr="002E097A">
        <w:t>nly residents in the Kimberley and Pilbara regions were predominately dispensed treatment through the S100 HSD Public Program (Figure 1</w:t>
      </w:r>
      <w:r>
        <w:t>4</w:t>
      </w:r>
      <w:r w:rsidRPr="002E097A">
        <w:t>).</w:t>
      </w:r>
      <w:r>
        <w:t xml:space="preserve"> In </w:t>
      </w:r>
      <w:r w:rsidRPr="002E097A">
        <w:t xml:space="preserve">the current reporting period, </w:t>
      </w:r>
      <w:r>
        <w:t>o</w:t>
      </w:r>
      <w:r w:rsidRPr="002E097A">
        <w:t xml:space="preserve">nly the Great Southern </w:t>
      </w:r>
      <w:r>
        <w:t xml:space="preserve">and Midwest </w:t>
      </w:r>
      <w:r w:rsidRPr="002E097A">
        <w:t>region</w:t>
      </w:r>
      <w:r>
        <w:t>s</w:t>
      </w:r>
      <w:r w:rsidRPr="002E097A">
        <w:t xml:space="preserve"> had an increase in the proportion of residents who were dispensed treatment through the S100 HSD Public Program (Figure 1</w:t>
      </w:r>
      <w:r>
        <w:t>5</w:t>
      </w:r>
      <w:r w:rsidRPr="002E097A">
        <w:t>).</w:t>
      </w:r>
    </w:p>
    <w:bookmarkEnd w:id="26"/>
    <w:p w14:paraId="0BE1F5A9" w14:textId="77777777" w:rsidR="00C253ED" w:rsidRPr="00D17EA1" w:rsidRDefault="00C253ED" w:rsidP="00C253ED">
      <w:pPr>
        <w:pStyle w:val="Caption"/>
        <w:ind w:right="283"/>
      </w:pPr>
      <w:r>
        <w:br w:type="page"/>
      </w:r>
      <w:r w:rsidRPr="00D17EA1">
        <w:lastRenderedPageBreak/>
        <w:t xml:space="preserve">Figure </w:t>
      </w:r>
      <w:r w:rsidR="00C62955">
        <w:rPr>
          <w:noProof/>
        </w:rPr>
        <w:fldChar w:fldCharType="begin"/>
      </w:r>
      <w:r w:rsidR="00C62955">
        <w:rPr>
          <w:noProof/>
        </w:rPr>
        <w:instrText xml:space="preserve"> SEQ Figure \* ARABIC </w:instrText>
      </w:r>
      <w:r w:rsidR="00C62955">
        <w:rPr>
          <w:noProof/>
        </w:rPr>
        <w:fldChar w:fldCharType="separate"/>
      </w:r>
      <w:r>
        <w:rPr>
          <w:noProof/>
        </w:rPr>
        <w:t>14</w:t>
      </w:r>
      <w:r w:rsidR="00C62955">
        <w:rPr>
          <w:noProof/>
        </w:rPr>
        <w:fldChar w:fldCharType="end"/>
      </w:r>
      <w:r>
        <w:t>.</w:t>
      </w:r>
      <w:r w:rsidRPr="00D17EA1">
        <w:t xml:space="preserve"> </w:t>
      </w:r>
      <w:r>
        <w:t>Proportion</w:t>
      </w:r>
      <w:r w:rsidRPr="00D17EA1">
        <w:t xml:space="preserve"> of </w:t>
      </w:r>
      <w:r>
        <w:t>WA residents</w:t>
      </w:r>
      <w:r w:rsidRPr="00D17EA1">
        <w:t xml:space="preserve"> </w:t>
      </w:r>
      <w:r>
        <w:t>initiating</w:t>
      </w:r>
      <w:r w:rsidRPr="00D17EA1">
        <w:t xml:space="preserve"> DAA treatment by health region of residence and program code, March</w:t>
      </w:r>
      <w:r>
        <w:t xml:space="preserve"> 2016</w:t>
      </w:r>
      <w:r w:rsidRPr="00D17EA1">
        <w:t xml:space="preserve"> to September 2016</w:t>
      </w:r>
    </w:p>
    <w:p w14:paraId="769A14C1" w14:textId="04BBE00E" w:rsidR="00C253ED" w:rsidRDefault="00C253ED" w:rsidP="00C253ED">
      <w:pPr>
        <w:ind w:right="283"/>
        <w:jc w:val="center"/>
      </w:pPr>
      <w:r w:rsidRPr="003547D9">
        <w:rPr>
          <w:noProof/>
        </w:rPr>
        <w:drawing>
          <wp:inline distT="0" distB="0" distL="0" distR="0" wp14:anchorId="5D5E37B4" wp14:editId="0F9FE90A">
            <wp:extent cx="5705475" cy="37528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05475" cy="3752850"/>
                    </a:xfrm>
                    <a:prstGeom prst="rect">
                      <a:avLst/>
                    </a:prstGeom>
                    <a:noFill/>
                    <a:ln>
                      <a:noFill/>
                    </a:ln>
                  </pic:spPr>
                </pic:pic>
              </a:graphicData>
            </a:graphic>
          </wp:inline>
        </w:drawing>
      </w:r>
    </w:p>
    <w:p w14:paraId="101B3171" w14:textId="620BD7C3" w:rsidR="00C253ED" w:rsidRDefault="00C253ED" w:rsidP="00C253ED">
      <w:pPr>
        <w:pStyle w:val="Caption"/>
        <w:ind w:right="283"/>
      </w:pPr>
      <w:r w:rsidRPr="00D17EA1">
        <w:t xml:space="preserve">Figure </w:t>
      </w:r>
      <w:r w:rsidR="00C62955">
        <w:rPr>
          <w:noProof/>
        </w:rPr>
        <w:fldChar w:fldCharType="begin"/>
      </w:r>
      <w:r w:rsidR="00C62955">
        <w:rPr>
          <w:noProof/>
        </w:rPr>
        <w:instrText xml:space="preserve"> SEQ Figure \* ARABIC </w:instrText>
      </w:r>
      <w:r w:rsidR="00C62955">
        <w:rPr>
          <w:noProof/>
        </w:rPr>
        <w:fldChar w:fldCharType="separate"/>
      </w:r>
      <w:r>
        <w:rPr>
          <w:noProof/>
        </w:rPr>
        <w:t>15</w:t>
      </w:r>
      <w:r w:rsidR="00C62955">
        <w:rPr>
          <w:noProof/>
        </w:rPr>
        <w:fldChar w:fldCharType="end"/>
      </w:r>
      <w:r>
        <w:t>.</w:t>
      </w:r>
      <w:r w:rsidRPr="00D17EA1">
        <w:t xml:space="preserve"> </w:t>
      </w:r>
      <w:r>
        <w:t>Proportion</w:t>
      </w:r>
      <w:r w:rsidRPr="00D17EA1">
        <w:t xml:space="preserve"> of </w:t>
      </w:r>
      <w:r>
        <w:t>WA residents</w:t>
      </w:r>
      <w:r w:rsidRPr="00D17EA1">
        <w:t xml:space="preserve"> </w:t>
      </w:r>
      <w:r>
        <w:t>initiating</w:t>
      </w:r>
      <w:r w:rsidRPr="00D17EA1">
        <w:t xml:space="preserve"> DAA treatment by health region of residence and program code, </w:t>
      </w:r>
      <w:r>
        <w:t>October 201</w:t>
      </w:r>
      <w:r w:rsidR="00F632D4">
        <w:t>9</w:t>
      </w:r>
      <w:r w:rsidRPr="00D17EA1">
        <w:t xml:space="preserve"> to </w:t>
      </w:r>
      <w:r>
        <w:t>March 20</w:t>
      </w:r>
      <w:r w:rsidR="00F632D4">
        <w:t>20</w:t>
      </w:r>
    </w:p>
    <w:p w14:paraId="2F08F04C" w14:textId="72251113" w:rsidR="00F632D4" w:rsidRDefault="00F632D4" w:rsidP="00C253ED">
      <w:pPr>
        <w:ind w:left="426" w:right="283" w:hanging="426"/>
        <w:jc w:val="center"/>
      </w:pPr>
      <w:r w:rsidRPr="00F632D4">
        <w:rPr>
          <w:noProof/>
        </w:rPr>
        <w:drawing>
          <wp:inline distT="0" distB="0" distL="0" distR="0" wp14:anchorId="0674F5B4" wp14:editId="1DD11B43">
            <wp:extent cx="5753038" cy="375480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3038" cy="3754800"/>
                    </a:xfrm>
                    <a:prstGeom prst="rect">
                      <a:avLst/>
                    </a:prstGeom>
                    <a:noFill/>
                    <a:ln>
                      <a:noFill/>
                    </a:ln>
                  </pic:spPr>
                </pic:pic>
              </a:graphicData>
            </a:graphic>
          </wp:inline>
        </w:drawing>
      </w:r>
    </w:p>
    <w:p w14:paraId="256E3D93" w14:textId="51572B50" w:rsidR="00C253ED" w:rsidRDefault="00C253ED" w:rsidP="00C253ED">
      <w:pPr>
        <w:ind w:left="426" w:right="283" w:hanging="426"/>
        <w:rPr>
          <w:sz w:val="16"/>
          <w:szCs w:val="16"/>
        </w:rPr>
      </w:pPr>
      <w:r>
        <w:rPr>
          <w:sz w:val="16"/>
          <w:szCs w:val="16"/>
        </w:rPr>
        <w:t>Figure 14 and Figure 15 n</w:t>
      </w:r>
      <w:r w:rsidRPr="00DC2B1C">
        <w:rPr>
          <w:sz w:val="16"/>
          <w:szCs w:val="16"/>
        </w:rPr>
        <w:t xml:space="preserve">ote: </w:t>
      </w:r>
      <w:r>
        <w:rPr>
          <w:sz w:val="16"/>
          <w:szCs w:val="16"/>
        </w:rPr>
        <w:t xml:space="preserve">there were 17 and </w:t>
      </w:r>
      <w:r w:rsidR="007D5D39">
        <w:rPr>
          <w:sz w:val="16"/>
          <w:szCs w:val="16"/>
        </w:rPr>
        <w:t>six</w:t>
      </w:r>
      <w:r>
        <w:rPr>
          <w:sz w:val="16"/>
          <w:szCs w:val="16"/>
        </w:rPr>
        <w:t xml:space="preserve"> WA residents who were dispensed DAA treatment through the s</w:t>
      </w:r>
      <w:r w:rsidRPr="00D17EA1">
        <w:rPr>
          <w:sz w:val="16"/>
          <w:szCs w:val="16"/>
        </w:rPr>
        <w:t>100 HSD Private</w:t>
      </w:r>
      <w:r>
        <w:rPr>
          <w:sz w:val="16"/>
          <w:szCs w:val="16"/>
        </w:rPr>
        <w:t xml:space="preserve"> code in the March to September 2016 and October 201</w:t>
      </w:r>
      <w:r w:rsidR="007D5D39">
        <w:rPr>
          <w:sz w:val="16"/>
          <w:szCs w:val="16"/>
        </w:rPr>
        <w:t>9</w:t>
      </w:r>
      <w:r>
        <w:rPr>
          <w:sz w:val="16"/>
          <w:szCs w:val="16"/>
        </w:rPr>
        <w:t xml:space="preserve"> to March 20</w:t>
      </w:r>
      <w:r w:rsidR="007D5D39">
        <w:rPr>
          <w:sz w:val="16"/>
          <w:szCs w:val="16"/>
        </w:rPr>
        <w:t>20</w:t>
      </w:r>
      <w:r>
        <w:rPr>
          <w:sz w:val="16"/>
          <w:szCs w:val="16"/>
        </w:rPr>
        <w:t xml:space="preserve"> periods, respectively. These have been excluded from these figures.</w:t>
      </w:r>
    </w:p>
    <w:p w14:paraId="113CFC28" w14:textId="77777777" w:rsidR="00C253ED" w:rsidRPr="00012A24" w:rsidRDefault="00C253ED" w:rsidP="00C253ED">
      <w:pPr>
        <w:pStyle w:val="Heading2"/>
        <w:ind w:right="283"/>
      </w:pPr>
      <w:bookmarkStart w:id="27" w:name="_Toc485640334"/>
      <w:bookmarkStart w:id="28" w:name="_Toc486598324"/>
      <w:bookmarkStart w:id="29" w:name="_Toc501112774"/>
      <w:bookmarkStart w:id="30" w:name="_Toc60839114"/>
      <w:r w:rsidRPr="00012A24">
        <w:lastRenderedPageBreak/>
        <w:t xml:space="preserve">DAA treatment initiations by </w:t>
      </w:r>
      <w:r>
        <w:t xml:space="preserve">prescriber </w:t>
      </w:r>
      <w:r w:rsidRPr="00012A24">
        <w:t>characteristics</w:t>
      </w:r>
      <w:bookmarkEnd w:id="27"/>
      <w:bookmarkEnd w:id="28"/>
      <w:bookmarkEnd w:id="29"/>
      <w:bookmarkEnd w:id="30"/>
    </w:p>
    <w:p w14:paraId="6BA25682" w14:textId="2027F681" w:rsidR="00C253ED" w:rsidRDefault="00C253ED" w:rsidP="00C253ED">
      <w:pPr>
        <w:ind w:right="283"/>
      </w:pPr>
      <w:r w:rsidRPr="00516A98">
        <w:t>While approximately equal proportions of WA residents in the first reporting period were prescribed DAA treatment by a GP or a specialist, the majority of residents in the current reporting period were prescribed treatment by a GP (Figure 1</w:t>
      </w:r>
      <w:r>
        <w:t>6</w:t>
      </w:r>
      <w:r w:rsidRPr="00516A98">
        <w:t>).</w:t>
      </w:r>
      <w:r w:rsidR="00295FFF">
        <w:t xml:space="preserve"> An increasing proportion of residents have been prescribed treatment by authorised nurse practitioners since the expansion of the prescriber criterion</w:t>
      </w:r>
      <w:r w:rsidR="00BD4DB9">
        <w:t xml:space="preserve"> in April 2020</w:t>
      </w:r>
      <w:r w:rsidR="00295FFF">
        <w:t>.</w:t>
      </w:r>
    </w:p>
    <w:p w14:paraId="4DDD9A1C" w14:textId="77B33B2C" w:rsidR="00C253ED" w:rsidRPr="000D3034" w:rsidRDefault="00C253ED" w:rsidP="00C253ED">
      <w:pPr>
        <w:pStyle w:val="Caption"/>
        <w:ind w:right="283"/>
      </w:pPr>
      <w:r w:rsidRPr="00516A98">
        <w:t xml:space="preserve">Figure </w:t>
      </w:r>
      <w:r w:rsidR="00C62955">
        <w:rPr>
          <w:noProof/>
        </w:rPr>
        <w:fldChar w:fldCharType="begin"/>
      </w:r>
      <w:r w:rsidR="00C62955">
        <w:rPr>
          <w:noProof/>
        </w:rPr>
        <w:instrText xml:space="preserve"> SEQ Figure \* ARABIC </w:instrText>
      </w:r>
      <w:r w:rsidR="00C62955">
        <w:rPr>
          <w:noProof/>
        </w:rPr>
        <w:fldChar w:fldCharType="separate"/>
      </w:r>
      <w:r>
        <w:rPr>
          <w:noProof/>
        </w:rPr>
        <w:t>16</w:t>
      </w:r>
      <w:r w:rsidR="00C62955">
        <w:rPr>
          <w:noProof/>
        </w:rPr>
        <w:fldChar w:fldCharType="end"/>
      </w:r>
      <w:r w:rsidRPr="00516A98">
        <w:t xml:space="preserve">. Proportion of WA residents initiating DAA treatment by prescriber type and reporting period, March 2016 to </w:t>
      </w:r>
      <w:r w:rsidRPr="00647C42">
        <w:t xml:space="preserve">March </w:t>
      </w:r>
      <w:r w:rsidR="00366E40">
        <w:t>2020</w:t>
      </w:r>
    </w:p>
    <w:p w14:paraId="01A4799C" w14:textId="2AEC28FC" w:rsidR="007C5DD5" w:rsidRDefault="007C5DD5" w:rsidP="00C253ED">
      <w:pPr>
        <w:ind w:right="283"/>
        <w:jc w:val="center"/>
      </w:pPr>
      <w:r w:rsidRPr="007C5DD5">
        <w:rPr>
          <w:noProof/>
        </w:rPr>
        <w:drawing>
          <wp:inline distT="0" distB="0" distL="0" distR="0" wp14:anchorId="0F9C22F6" wp14:editId="3CD21D10">
            <wp:extent cx="6117084" cy="3992400"/>
            <wp:effectExtent l="0" t="0" r="0"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17084" cy="3992400"/>
                    </a:xfrm>
                    <a:prstGeom prst="rect">
                      <a:avLst/>
                    </a:prstGeom>
                    <a:noFill/>
                    <a:ln>
                      <a:noFill/>
                    </a:ln>
                  </pic:spPr>
                </pic:pic>
              </a:graphicData>
            </a:graphic>
          </wp:inline>
        </w:drawing>
      </w:r>
    </w:p>
    <w:p w14:paraId="1AED53D1" w14:textId="24FD32B9" w:rsidR="00C253ED" w:rsidRDefault="00C253ED" w:rsidP="00C253ED">
      <w:pPr>
        <w:autoSpaceDE w:val="0"/>
        <w:autoSpaceDN w:val="0"/>
        <w:adjustRightInd w:val="0"/>
        <w:ind w:left="425" w:right="283" w:hanging="425"/>
        <w:rPr>
          <w:rFonts w:cs="Arial"/>
          <w:sz w:val="16"/>
          <w:szCs w:val="16"/>
        </w:rPr>
      </w:pPr>
      <w:r w:rsidRPr="00083BBA">
        <w:rPr>
          <w:rFonts w:cs="Arial"/>
          <w:sz w:val="16"/>
          <w:szCs w:val="16"/>
        </w:rPr>
        <w:t xml:space="preserve">Note: The prescriber type is based on the prescriber's registered specialties and Medicare services. The prescriber type was recorded as unknown for </w:t>
      </w:r>
      <w:r w:rsidR="006C047F" w:rsidRPr="00083BBA">
        <w:rPr>
          <w:rFonts w:cs="Arial"/>
          <w:sz w:val="16"/>
          <w:szCs w:val="16"/>
        </w:rPr>
        <w:t xml:space="preserve">a total of 334 residents in the March 2016 to March 2020 period. </w:t>
      </w:r>
      <w:r w:rsidRPr="00083BBA">
        <w:rPr>
          <w:rFonts w:cs="Arial"/>
          <w:sz w:val="16"/>
          <w:szCs w:val="16"/>
        </w:rPr>
        <w:t>These have been excluded from this figure.</w:t>
      </w:r>
      <w:r w:rsidR="00083BBA">
        <w:rPr>
          <w:rFonts w:cs="Arial"/>
          <w:sz w:val="16"/>
          <w:szCs w:val="16"/>
        </w:rPr>
        <w:t xml:space="preserve"> The criteria for prescribing DAA treatments through the </w:t>
      </w:r>
      <w:r w:rsidR="00083BBA" w:rsidRPr="00083BBA">
        <w:rPr>
          <w:rFonts w:cs="Arial"/>
          <w:sz w:val="16"/>
          <w:szCs w:val="16"/>
        </w:rPr>
        <w:t xml:space="preserve">S100 HSD Public Program </w:t>
      </w:r>
      <w:r w:rsidR="00083BBA">
        <w:rPr>
          <w:rFonts w:cs="Arial"/>
          <w:sz w:val="16"/>
          <w:szCs w:val="16"/>
        </w:rPr>
        <w:t>was expanded to include authorised nurse practitioners in April 2020.</w:t>
      </w:r>
    </w:p>
    <w:p w14:paraId="1DB53FE3" w14:textId="024DB2CA" w:rsidR="00C253ED" w:rsidRDefault="00C253ED" w:rsidP="00C253ED">
      <w:pPr>
        <w:pStyle w:val="Caption"/>
        <w:ind w:right="283"/>
        <w:rPr>
          <w:b w:val="0"/>
          <w:bCs w:val="0"/>
          <w:sz w:val="24"/>
          <w:szCs w:val="22"/>
        </w:rPr>
      </w:pPr>
      <w:r w:rsidRPr="009101E4">
        <w:rPr>
          <w:b w:val="0"/>
          <w:bCs w:val="0"/>
          <w:sz w:val="24"/>
          <w:szCs w:val="22"/>
        </w:rPr>
        <w:t>In the first reporting period, only residents in the Goldfields and Pilbara regions were predominately prescribed treatment by a GP (Figure 1</w:t>
      </w:r>
      <w:r>
        <w:rPr>
          <w:b w:val="0"/>
          <w:bCs w:val="0"/>
          <w:sz w:val="24"/>
          <w:szCs w:val="22"/>
        </w:rPr>
        <w:t>7</w:t>
      </w:r>
      <w:r w:rsidRPr="009101E4">
        <w:rPr>
          <w:b w:val="0"/>
          <w:bCs w:val="0"/>
          <w:sz w:val="24"/>
          <w:szCs w:val="22"/>
        </w:rPr>
        <w:t xml:space="preserve">). In the current reporting period, </w:t>
      </w:r>
      <w:r>
        <w:rPr>
          <w:b w:val="0"/>
          <w:bCs w:val="0"/>
          <w:sz w:val="24"/>
          <w:szCs w:val="22"/>
        </w:rPr>
        <w:t xml:space="preserve">the Kimberley was the only region </w:t>
      </w:r>
      <w:r w:rsidRPr="009101E4">
        <w:rPr>
          <w:b w:val="0"/>
          <w:bCs w:val="0"/>
          <w:sz w:val="24"/>
          <w:szCs w:val="22"/>
        </w:rPr>
        <w:t>in which the majority of residents were prescribed treatment by a specialist</w:t>
      </w:r>
      <w:r w:rsidR="00CF295A">
        <w:rPr>
          <w:b w:val="0"/>
          <w:bCs w:val="0"/>
          <w:sz w:val="24"/>
          <w:szCs w:val="22"/>
        </w:rPr>
        <w:t>. The South West region had the highest proportion</w:t>
      </w:r>
      <w:r w:rsidR="00E26E29">
        <w:rPr>
          <w:b w:val="0"/>
          <w:bCs w:val="0"/>
          <w:sz w:val="24"/>
          <w:szCs w:val="22"/>
        </w:rPr>
        <w:t xml:space="preserve"> of residents prescribed treatment by a nurse practitioner</w:t>
      </w:r>
      <w:r w:rsidR="00CC5842">
        <w:rPr>
          <w:b w:val="0"/>
          <w:bCs w:val="0"/>
          <w:sz w:val="24"/>
          <w:szCs w:val="22"/>
        </w:rPr>
        <w:t xml:space="preserve"> in the current reporting period</w:t>
      </w:r>
      <w:r w:rsidR="00CF295A">
        <w:rPr>
          <w:b w:val="0"/>
          <w:bCs w:val="0"/>
          <w:sz w:val="24"/>
          <w:szCs w:val="22"/>
        </w:rPr>
        <w:t xml:space="preserve"> </w:t>
      </w:r>
      <w:r w:rsidRPr="009101E4">
        <w:rPr>
          <w:b w:val="0"/>
          <w:bCs w:val="0"/>
          <w:sz w:val="24"/>
          <w:szCs w:val="22"/>
        </w:rPr>
        <w:t>(Figure 1</w:t>
      </w:r>
      <w:r>
        <w:rPr>
          <w:b w:val="0"/>
          <w:bCs w:val="0"/>
          <w:sz w:val="24"/>
          <w:szCs w:val="22"/>
        </w:rPr>
        <w:t>8</w:t>
      </w:r>
      <w:r w:rsidRPr="009101E4">
        <w:rPr>
          <w:b w:val="0"/>
          <w:bCs w:val="0"/>
          <w:sz w:val="24"/>
          <w:szCs w:val="22"/>
        </w:rPr>
        <w:t>).</w:t>
      </w:r>
    </w:p>
    <w:p w14:paraId="4D609B77" w14:textId="77777777" w:rsidR="00C253ED" w:rsidRPr="001E0D73" w:rsidRDefault="00C253ED" w:rsidP="00C253ED">
      <w:pPr>
        <w:pStyle w:val="Caption"/>
        <w:ind w:right="283"/>
        <w:rPr>
          <w:highlight w:val="yellow"/>
        </w:rPr>
      </w:pPr>
      <w:r>
        <w:br w:type="page"/>
      </w:r>
      <w:r w:rsidRPr="001C2AA9">
        <w:lastRenderedPageBreak/>
        <w:t xml:space="preserve">Figure </w:t>
      </w:r>
      <w:r w:rsidR="00C62955">
        <w:rPr>
          <w:noProof/>
        </w:rPr>
        <w:fldChar w:fldCharType="begin"/>
      </w:r>
      <w:r w:rsidR="00C62955">
        <w:rPr>
          <w:noProof/>
        </w:rPr>
        <w:instrText xml:space="preserve"> SEQ Figure \* ARABIC </w:instrText>
      </w:r>
      <w:r w:rsidR="00C62955">
        <w:rPr>
          <w:noProof/>
        </w:rPr>
        <w:fldChar w:fldCharType="separate"/>
      </w:r>
      <w:r>
        <w:rPr>
          <w:noProof/>
        </w:rPr>
        <w:t>17</w:t>
      </w:r>
      <w:r w:rsidR="00C62955">
        <w:rPr>
          <w:noProof/>
        </w:rPr>
        <w:fldChar w:fldCharType="end"/>
      </w:r>
      <w:r w:rsidRPr="001C2AA9">
        <w:t>. Proportion of WA residents initiating DAA treatment by health region of residence and</w:t>
      </w:r>
      <w:r w:rsidRPr="00B97763">
        <w:t xml:space="preserve"> prescriber type, March to September 2016</w:t>
      </w:r>
    </w:p>
    <w:p w14:paraId="08C0DC13" w14:textId="60FA6BCC" w:rsidR="00B87C9B" w:rsidRDefault="00B87C9B" w:rsidP="00C253ED">
      <w:pPr>
        <w:ind w:right="283"/>
        <w:jc w:val="center"/>
      </w:pPr>
      <w:r w:rsidRPr="00B87C9B">
        <w:rPr>
          <w:noProof/>
        </w:rPr>
        <w:drawing>
          <wp:inline distT="0" distB="0" distL="0" distR="0" wp14:anchorId="39B46DC6" wp14:editId="23150BAB">
            <wp:extent cx="5454000" cy="3560400"/>
            <wp:effectExtent l="0" t="0" r="0" b="254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54000" cy="3560400"/>
                    </a:xfrm>
                    <a:prstGeom prst="rect">
                      <a:avLst/>
                    </a:prstGeom>
                    <a:noFill/>
                    <a:ln>
                      <a:noFill/>
                    </a:ln>
                  </pic:spPr>
                </pic:pic>
              </a:graphicData>
            </a:graphic>
          </wp:inline>
        </w:drawing>
      </w:r>
    </w:p>
    <w:p w14:paraId="3BCE0655" w14:textId="34817278" w:rsidR="00C253ED" w:rsidRDefault="00C253ED" w:rsidP="00C253ED">
      <w:pPr>
        <w:pStyle w:val="Caption"/>
        <w:ind w:right="283"/>
      </w:pPr>
      <w:r w:rsidRPr="001C2AA9">
        <w:t xml:space="preserve">Figure </w:t>
      </w:r>
      <w:r w:rsidR="00C62955">
        <w:rPr>
          <w:noProof/>
        </w:rPr>
        <w:fldChar w:fldCharType="begin"/>
      </w:r>
      <w:r w:rsidR="00C62955">
        <w:rPr>
          <w:noProof/>
        </w:rPr>
        <w:instrText xml:space="preserve"> SEQ Figure \* ARABIC </w:instrText>
      </w:r>
      <w:r w:rsidR="00C62955">
        <w:rPr>
          <w:noProof/>
        </w:rPr>
        <w:fldChar w:fldCharType="separate"/>
      </w:r>
      <w:r>
        <w:rPr>
          <w:noProof/>
        </w:rPr>
        <w:t>18</w:t>
      </w:r>
      <w:r w:rsidR="00C62955">
        <w:rPr>
          <w:noProof/>
        </w:rPr>
        <w:fldChar w:fldCharType="end"/>
      </w:r>
      <w:r w:rsidRPr="001C2AA9">
        <w:t>. Proportion of WA residents initiating DAA treatment by health region of residence and</w:t>
      </w:r>
      <w:r w:rsidRPr="00B97763">
        <w:t xml:space="preserve"> prescriber type, </w:t>
      </w:r>
      <w:r w:rsidRPr="00807BBD">
        <w:t>October 201</w:t>
      </w:r>
      <w:r w:rsidR="00AC0CEF">
        <w:t>9</w:t>
      </w:r>
      <w:r w:rsidRPr="00807BBD">
        <w:t xml:space="preserve"> to March 20</w:t>
      </w:r>
      <w:r w:rsidR="00AC0CEF">
        <w:t>20</w:t>
      </w:r>
    </w:p>
    <w:p w14:paraId="24BE1418" w14:textId="0755AAEB" w:rsidR="00E26E29" w:rsidRDefault="00E26E29" w:rsidP="00C253ED">
      <w:pPr>
        <w:ind w:left="426" w:right="283" w:hanging="426"/>
        <w:jc w:val="center"/>
      </w:pPr>
      <w:r w:rsidRPr="00E26E29">
        <w:rPr>
          <w:noProof/>
        </w:rPr>
        <w:drawing>
          <wp:inline distT="0" distB="0" distL="0" distR="0" wp14:anchorId="745B5342" wp14:editId="1A263344">
            <wp:extent cx="5454000" cy="3560400"/>
            <wp:effectExtent l="0" t="0" r="0" b="254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54000" cy="3560400"/>
                    </a:xfrm>
                    <a:prstGeom prst="rect">
                      <a:avLst/>
                    </a:prstGeom>
                    <a:noFill/>
                    <a:ln>
                      <a:noFill/>
                    </a:ln>
                  </pic:spPr>
                </pic:pic>
              </a:graphicData>
            </a:graphic>
          </wp:inline>
        </w:drawing>
      </w:r>
    </w:p>
    <w:p w14:paraId="478FA809" w14:textId="1307A052" w:rsidR="00C253ED" w:rsidRDefault="00AC0CEF" w:rsidP="00C253ED">
      <w:pPr>
        <w:ind w:left="426" w:right="283" w:hanging="426"/>
      </w:pPr>
      <w:r>
        <w:rPr>
          <w:sz w:val="16"/>
          <w:szCs w:val="16"/>
        </w:rPr>
        <w:t>Figure 17 and Figure 18 n</w:t>
      </w:r>
      <w:r w:rsidR="00C253ED" w:rsidRPr="00F27737">
        <w:rPr>
          <w:sz w:val="16"/>
          <w:szCs w:val="16"/>
        </w:rPr>
        <w:t xml:space="preserve">ote: The health region of the patient residence was used as provider type address was unknown at the time of reporting. The prescriber type is based on the prescriber's registered specialties and Medicare services. The prescriber type was recorded as unknown for one resident </w:t>
      </w:r>
      <w:r w:rsidR="00C253ED">
        <w:rPr>
          <w:sz w:val="16"/>
          <w:szCs w:val="16"/>
        </w:rPr>
        <w:t xml:space="preserve">in the March to September 2016 period and </w:t>
      </w:r>
      <w:r>
        <w:rPr>
          <w:sz w:val="16"/>
          <w:szCs w:val="16"/>
        </w:rPr>
        <w:t>136</w:t>
      </w:r>
      <w:r w:rsidR="00C253ED">
        <w:rPr>
          <w:sz w:val="16"/>
          <w:szCs w:val="16"/>
        </w:rPr>
        <w:t xml:space="preserve"> residents in the October 201</w:t>
      </w:r>
      <w:r>
        <w:rPr>
          <w:sz w:val="16"/>
          <w:szCs w:val="16"/>
        </w:rPr>
        <w:t>9</w:t>
      </w:r>
      <w:r w:rsidR="00C253ED">
        <w:rPr>
          <w:sz w:val="16"/>
          <w:szCs w:val="16"/>
        </w:rPr>
        <w:t xml:space="preserve"> to March 20</w:t>
      </w:r>
      <w:r>
        <w:rPr>
          <w:sz w:val="16"/>
          <w:szCs w:val="16"/>
        </w:rPr>
        <w:t>20</w:t>
      </w:r>
      <w:r w:rsidR="00C253ED">
        <w:rPr>
          <w:sz w:val="16"/>
          <w:szCs w:val="16"/>
        </w:rPr>
        <w:t xml:space="preserve"> period, </w:t>
      </w:r>
      <w:r w:rsidR="00C253ED" w:rsidRPr="00F27737">
        <w:rPr>
          <w:sz w:val="16"/>
          <w:szCs w:val="16"/>
        </w:rPr>
        <w:t xml:space="preserve">and </w:t>
      </w:r>
      <w:r w:rsidR="00C253ED">
        <w:rPr>
          <w:sz w:val="16"/>
          <w:szCs w:val="16"/>
        </w:rPr>
        <w:t>these have</w:t>
      </w:r>
      <w:r w:rsidR="00C253ED" w:rsidRPr="00F27737">
        <w:rPr>
          <w:sz w:val="16"/>
          <w:szCs w:val="16"/>
        </w:rPr>
        <w:t xml:space="preserve"> been excluded from </w:t>
      </w:r>
      <w:r w:rsidR="00C253ED">
        <w:rPr>
          <w:sz w:val="16"/>
          <w:szCs w:val="16"/>
        </w:rPr>
        <w:t>these</w:t>
      </w:r>
      <w:r w:rsidR="00C253ED" w:rsidRPr="00F27737">
        <w:rPr>
          <w:sz w:val="16"/>
          <w:szCs w:val="16"/>
        </w:rPr>
        <w:t xml:space="preserve"> figure</w:t>
      </w:r>
      <w:r w:rsidR="00C253ED">
        <w:rPr>
          <w:sz w:val="16"/>
          <w:szCs w:val="16"/>
        </w:rPr>
        <w:t>s</w:t>
      </w:r>
      <w:r w:rsidR="00C253ED" w:rsidRPr="00F27737">
        <w:rPr>
          <w:sz w:val="16"/>
          <w:szCs w:val="16"/>
        </w:rPr>
        <w:t>.</w:t>
      </w:r>
      <w:r w:rsidR="00083BBA" w:rsidRPr="00083BBA">
        <w:t xml:space="preserve"> </w:t>
      </w:r>
      <w:r w:rsidR="00083BBA" w:rsidRPr="00083BBA">
        <w:rPr>
          <w:sz w:val="16"/>
          <w:szCs w:val="16"/>
        </w:rPr>
        <w:t xml:space="preserve">The criteria for prescribing DAA treatments through the S100 HSD Public Program was expanded to include authorised nurse practitioners in April 2020 and therefore do not appear </w:t>
      </w:r>
      <w:r w:rsidR="00083BBA">
        <w:rPr>
          <w:sz w:val="16"/>
          <w:szCs w:val="16"/>
        </w:rPr>
        <w:t>for the period from March to September 2016</w:t>
      </w:r>
      <w:r w:rsidR="00083BBA" w:rsidRPr="00083BBA">
        <w:rPr>
          <w:sz w:val="16"/>
          <w:szCs w:val="16"/>
        </w:rPr>
        <w:t>.</w:t>
      </w:r>
    </w:p>
    <w:p w14:paraId="6D2E3676" w14:textId="06F1E356" w:rsidR="00C253ED" w:rsidRPr="00AE6A0D" w:rsidRDefault="00C253ED" w:rsidP="00C253ED">
      <w:pPr>
        <w:ind w:right="283"/>
      </w:pPr>
      <w:r w:rsidRPr="00AE6A0D">
        <w:lastRenderedPageBreak/>
        <w:t xml:space="preserve">The number of unique prescribers for DAA treatment in WA </w:t>
      </w:r>
      <w:r>
        <w:t xml:space="preserve">increased by </w:t>
      </w:r>
      <w:r w:rsidR="00F57D5E">
        <w:t>26</w:t>
      </w:r>
      <w:r>
        <w:t xml:space="preserve">% </w:t>
      </w:r>
      <w:r w:rsidRPr="00AE6A0D">
        <w:t>from the first to the current reporting period. The majority of prescribers were GPs, and from the first to the current reporting period, the proportion of prescribers who were specialists decreased</w:t>
      </w:r>
      <w:r>
        <w:t xml:space="preserve"> (Table 2</w:t>
      </w:r>
      <w:r w:rsidRPr="00AE6A0D">
        <w:t xml:space="preserve">). </w:t>
      </w:r>
    </w:p>
    <w:p w14:paraId="20EC3ADD" w14:textId="0B485EF0" w:rsidR="00C253ED" w:rsidRDefault="00C253ED" w:rsidP="00C253ED">
      <w:pPr>
        <w:pStyle w:val="Caption"/>
        <w:ind w:right="283"/>
      </w:pPr>
      <w:r w:rsidRPr="00AE6A0D">
        <w:t xml:space="preserve">Table </w:t>
      </w:r>
      <w:r w:rsidR="00C62955">
        <w:rPr>
          <w:noProof/>
        </w:rPr>
        <w:fldChar w:fldCharType="begin"/>
      </w:r>
      <w:r w:rsidR="00C62955">
        <w:rPr>
          <w:noProof/>
        </w:rPr>
        <w:instrText xml:space="preserve"> SEQ Table \* ARABIC </w:instrText>
      </w:r>
      <w:r w:rsidR="00C62955">
        <w:rPr>
          <w:noProof/>
        </w:rPr>
        <w:fldChar w:fldCharType="separate"/>
      </w:r>
      <w:r>
        <w:rPr>
          <w:noProof/>
        </w:rPr>
        <w:t>2</w:t>
      </w:r>
      <w:r w:rsidR="00C62955">
        <w:rPr>
          <w:noProof/>
        </w:rPr>
        <w:fldChar w:fldCharType="end"/>
      </w:r>
      <w:r w:rsidRPr="00AE6A0D">
        <w:t xml:space="preserve">. Number and proportion of prescribers of DAA treatment by prescriber type and </w:t>
      </w:r>
      <w:r w:rsidR="00EA7CCC" w:rsidRPr="00EA7CCC">
        <w:t>reporting period, March 2016 to September 2018 and October 2019 to March 2020</w:t>
      </w:r>
    </w:p>
    <w:p w14:paraId="726ECE43" w14:textId="74FB473F" w:rsidR="00783E3F" w:rsidRPr="00783E3F" w:rsidRDefault="00783E3F" w:rsidP="00783E3F">
      <w:pPr>
        <w:jc w:val="center"/>
      </w:pPr>
      <w:r w:rsidRPr="00783E3F">
        <w:rPr>
          <w:noProof/>
        </w:rPr>
        <w:drawing>
          <wp:inline distT="0" distB="0" distL="0" distR="0" wp14:anchorId="4598B20F" wp14:editId="38ECF18C">
            <wp:extent cx="3562350"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562350" cy="1266825"/>
                    </a:xfrm>
                    <a:prstGeom prst="rect">
                      <a:avLst/>
                    </a:prstGeom>
                    <a:noFill/>
                    <a:ln>
                      <a:noFill/>
                    </a:ln>
                  </pic:spPr>
                </pic:pic>
              </a:graphicData>
            </a:graphic>
          </wp:inline>
        </w:drawing>
      </w:r>
    </w:p>
    <w:p w14:paraId="51DAD693" w14:textId="275B8770" w:rsidR="00C253ED" w:rsidRDefault="00C253ED" w:rsidP="00C253ED">
      <w:pPr>
        <w:autoSpaceDE w:val="0"/>
        <w:autoSpaceDN w:val="0"/>
        <w:adjustRightInd w:val="0"/>
        <w:ind w:left="425" w:right="283" w:hanging="425"/>
        <w:rPr>
          <w:rFonts w:cs="Arial"/>
          <w:sz w:val="16"/>
          <w:szCs w:val="16"/>
        </w:rPr>
      </w:pPr>
      <w:r w:rsidRPr="00783E3F">
        <w:rPr>
          <w:rFonts w:cs="Arial"/>
          <w:sz w:val="16"/>
          <w:szCs w:val="16"/>
        </w:rPr>
        <w:t xml:space="preserve">Note: The prescriber type is based on the prescriber's registered specialties and Medicare services. </w:t>
      </w:r>
      <w:r w:rsidRPr="00783E3F">
        <w:rPr>
          <w:rFonts w:cs="Arial"/>
          <w:sz w:val="16"/>
          <w:szCs w:val="16"/>
          <w:lang w:eastAsia="en-AU"/>
        </w:rPr>
        <w:t>As a result, a prescriber can appear in more than one category over time</w:t>
      </w:r>
      <w:r w:rsidRPr="00783E3F">
        <w:rPr>
          <w:rFonts w:cs="Arial"/>
          <w:sz w:val="16"/>
          <w:szCs w:val="16"/>
        </w:rPr>
        <w:t xml:space="preserve">. </w:t>
      </w:r>
      <w:r w:rsidR="00783E3F" w:rsidRPr="00783E3F">
        <w:rPr>
          <w:rFonts w:cs="Arial"/>
          <w:sz w:val="16"/>
          <w:szCs w:val="16"/>
        </w:rPr>
        <w:t>The criteria for prescribing DAA treatments through the S100 HSD Public Program was expanded to include authorised nurse practitioners in April 2020 and therefore do not appear for the period from March to September 2016.</w:t>
      </w:r>
    </w:p>
    <w:p w14:paraId="357DF927" w14:textId="77777777" w:rsidR="00457D0E" w:rsidRDefault="00457D0E">
      <w:pPr>
        <w:spacing w:after="0"/>
      </w:pPr>
      <w:r>
        <w:br w:type="page"/>
      </w:r>
    </w:p>
    <w:p w14:paraId="5366ABAE" w14:textId="3CCC23DC" w:rsidR="00C253ED" w:rsidRDefault="00C253ED" w:rsidP="00C253ED">
      <w:pPr>
        <w:ind w:right="283"/>
      </w:pPr>
      <w:r>
        <w:lastRenderedPageBreak/>
        <w:t>T</w:t>
      </w:r>
      <w:r w:rsidRPr="00B75440">
        <w:t>he majority of specialists</w:t>
      </w:r>
      <w:r>
        <w:t xml:space="preserve"> in both the first and current </w:t>
      </w:r>
      <w:r w:rsidRPr="00361D45">
        <w:t>reporting periods were gastroenterologists</w:t>
      </w:r>
      <w:r>
        <w:t xml:space="preserve"> or </w:t>
      </w:r>
      <w:r w:rsidRPr="00361D45">
        <w:t xml:space="preserve">hepatologists (Figure </w:t>
      </w:r>
      <w:r>
        <w:t>19</w:t>
      </w:r>
      <w:r w:rsidRPr="00361D45">
        <w:t xml:space="preserve"> and Figure 2</w:t>
      </w:r>
      <w:r>
        <w:t>0</w:t>
      </w:r>
      <w:r w:rsidRPr="00361D45">
        <w:t>).</w:t>
      </w:r>
    </w:p>
    <w:p w14:paraId="24D509BB" w14:textId="57DC4809" w:rsidR="00C253ED" w:rsidRPr="00E9101E" w:rsidRDefault="00C253ED" w:rsidP="00C253ED">
      <w:pPr>
        <w:pStyle w:val="Caption"/>
        <w:ind w:right="283"/>
      </w:pPr>
      <w:r w:rsidRPr="00E9101E">
        <w:t xml:space="preserve">Figure </w:t>
      </w:r>
      <w:r w:rsidR="00C62955">
        <w:rPr>
          <w:noProof/>
        </w:rPr>
        <w:fldChar w:fldCharType="begin"/>
      </w:r>
      <w:r w:rsidR="00C62955">
        <w:rPr>
          <w:noProof/>
        </w:rPr>
        <w:instrText xml:space="preserve"> SEQ Figure \* ARABIC </w:instrText>
      </w:r>
      <w:r w:rsidR="00C62955">
        <w:rPr>
          <w:noProof/>
        </w:rPr>
        <w:fldChar w:fldCharType="separate"/>
      </w:r>
      <w:r>
        <w:rPr>
          <w:noProof/>
        </w:rPr>
        <w:t>19</w:t>
      </w:r>
      <w:r w:rsidR="00C62955">
        <w:rPr>
          <w:noProof/>
        </w:rPr>
        <w:fldChar w:fldCharType="end"/>
      </w:r>
      <w:r w:rsidRPr="00E9101E">
        <w:t>. Proportion of prescribers of DAA treatment by prescriber speciality, March 2016 to September 2016</w:t>
      </w:r>
    </w:p>
    <w:p w14:paraId="1BE30468" w14:textId="6A785046" w:rsidR="00C253ED" w:rsidRPr="00E9101E" w:rsidRDefault="00C253ED" w:rsidP="00C253ED">
      <w:pPr>
        <w:pStyle w:val="Caption"/>
        <w:ind w:right="283"/>
        <w:jc w:val="center"/>
      </w:pPr>
      <w:r w:rsidRPr="00E9101E">
        <w:rPr>
          <w:noProof/>
        </w:rPr>
        <w:drawing>
          <wp:inline distT="0" distB="0" distL="0" distR="0" wp14:anchorId="6B613DAF" wp14:editId="2975E345">
            <wp:extent cx="5775062" cy="37620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75062" cy="3762000"/>
                    </a:xfrm>
                    <a:prstGeom prst="rect">
                      <a:avLst/>
                    </a:prstGeom>
                    <a:noFill/>
                    <a:ln>
                      <a:noFill/>
                    </a:ln>
                  </pic:spPr>
                </pic:pic>
              </a:graphicData>
            </a:graphic>
          </wp:inline>
        </w:drawing>
      </w:r>
    </w:p>
    <w:p w14:paraId="6F2CC978" w14:textId="02767319" w:rsidR="00C253ED" w:rsidRPr="00E9101E" w:rsidRDefault="00C253ED" w:rsidP="00C253ED">
      <w:pPr>
        <w:pStyle w:val="Caption"/>
        <w:ind w:right="283"/>
      </w:pPr>
      <w:r w:rsidRPr="00E9101E">
        <w:t xml:space="preserve">Figure </w:t>
      </w:r>
      <w:r w:rsidR="00C62955">
        <w:rPr>
          <w:noProof/>
        </w:rPr>
        <w:fldChar w:fldCharType="begin"/>
      </w:r>
      <w:r w:rsidR="00C62955">
        <w:rPr>
          <w:noProof/>
        </w:rPr>
        <w:instrText xml:space="preserve"> SEQ Figure \* ARABIC </w:instrText>
      </w:r>
      <w:r w:rsidR="00C62955">
        <w:rPr>
          <w:noProof/>
        </w:rPr>
        <w:fldChar w:fldCharType="separate"/>
      </w:r>
      <w:r>
        <w:rPr>
          <w:noProof/>
        </w:rPr>
        <w:t>20</w:t>
      </w:r>
      <w:r w:rsidR="00C62955">
        <w:rPr>
          <w:noProof/>
        </w:rPr>
        <w:fldChar w:fldCharType="end"/>
      </w:r>
      <w:r w:rsidRPr="00E9101E">
        <w:t xml:space="preserve">. Proportion of prescribers of DAA treatment by prescriber speciality, </w:t>
      </w:r>
      <w:r>
        <w:t>October</w:t>
      </w:r>
      <w:r w:rsidRPr="00E9101E">
        <w:t xml:space="preserve"> 201</w:t>
      </w:r>
      <w:r w:rsidR="00BB005F">
        <w:t>9</w:t>
      </w:r>
      <w:r w:rsidRPr="00E9101E">
        <w:t xml:space="preserve"> to </w:t>
      </w:r>
      <w:r w:rsidRPr="00923F2A">
        <w:t>March 20</w:t>
      </w:r>
      <w:r w:rsidR="00BB005F">
        <w:t>20</w:t>
      </w:r>
    </w:p>
    <w:p w14:paraId="74A67B02" w14:textId="1FD8BD6F" w:rsidR="00BB005F" w:rsidRPr="006874DB" w:rsidRDefault="00BB005F" w:rsidP="00C253ED">
      <w:pPr>
        <w:ind w:right="283"/>
        <w:jc w:val="center"/>
        <w:rPr>
          <w:b/>
        </w:rPr>
      </w:pPr>
      <w:r w:rsidRPr="00BB005F">
        <w:rPr>
          <w:noProof/>
        </w:rPr>
        <w:drawing>
          <wp:inline distT="0" distB="0" distL="0" distR="0" wp14:anchorId="626409E1" wp14:editId="04BF38A6">
            <wp:extent cx="5764355" cy="3762000"/>
            <wp:effectExtent l="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4355" cy="3762000"/>
                    </a:xfrm>
                    <a:prstGeom prst="rect">
                      <a:avLst/>
                    </a:prstGeom>
                    <a:noFill/>
                    <a:ln>
                      <a:noFill/>
                    </a:ln>
                  </pic:spPr>
                </pic:pic>
              </a:graphicData>
            </a:graphic>
          </wp:inline>
        </w:drawing>
      </w:r>
    </w:p>
    <w:p w14:paraId="5CC24BF2" w14:textId="77777777" w:rsidR="00C253ED" w:rsidRPr="00B910CA" w:rsidRDefault="00C253ED" w:rsidP="00C253ED">
      <w:pPr>
        <w:ind w:right="283"/>
      </w:pPr>
      <w:r>
        <w:lastRenderedPageBreak/>
        <w:t xml:space="preserve">While prescribers most frequently treated only one patient, specialists tended to have a higher patient caseload compared to GPs. From the first to the current reporting period, there was a marked decrease in the proportion of prescribers who treated ten or more </w:t>
      </w:r>
      <w:r w:rsidRPr="00B910CA">
        <w:t>patients (Table 3).</w:t>
      </w:r>
    </w:p>
    <w:p w14:paraId="24E86ED0" w14:textId="3F02D0DB" w:rsidR="00C253ED" w:rsidRDefault="00C253ED" w:rsidP="00C253ED">
      <w:pPr>
        <w:pStyle w:val="Caption"/>
        <w:ind w:right="283"/>
      </w:pPr>
      <w:r w:rsidRPr="00B910CA">
        <w:t xml:space="preserve">Table </w:t>
      </w:r>
      <w:r w:rsidR="00C62955">
        <w:rPr>
          <w:noProof/>
        </w:rPr>
        <w:fldChar w:fldCharType="begin"/>
      </w:r>
      <w:r w:rsidR="00C62955">
        <w:rPr>
          <w:noProof/>
        </w:rPr>
        <w:instrText xml:space="preserve"> SEQ Table \* ARABIC </w:instrText>
      </w:r>
      <w:r w:rsidR="00C62955">
        <w:rPr>
          <w:noProof/>
        </w:rPr>
        <w:fldChar w:fldCharType="separate"/>
      </w:r>
      <w:r w:rsidRPr="00B910CA">
        <w:rPr>
          <w:noProof/>
        </w:rPr>
        <w:t>3</w:t>
      </w:r>
      <w:r w:rsidR="00C62955">
        <w:rPr>
          <w:noProof/>
        </w:rPr>
        <w:fldChar w:fldCharType="end"/>
      </w:r>
      <w:r w:rsidRPr="00B910CA">
        <w:t xml:space="preserve">. Caseload of prescribers of DAA treatment by prescriber type, March 2016 to September 2016 and </w:t>
      </w:r>
      <w:r w:rsidRPr="00807BBD">
        <w:t>October 201</w:t>
      </w:r>
      <w:r w:rsidR="00CB7422">
        <w:t>9</w:t>
      </w:r>
      <w:r w:rsidRPr="00807BBD">
        <w:t xml:space="preserve"> to March 20</w:t>
      </w:r>
      <w:r w:rsidR="00CB7422">
        <w:t>20</w:t>
      </w:r>
    </w:p>
    <w:p w14:paraId="03EFEA9F" w14:textId="6BAEC8FA" w:rsidR="00C253ED" w:rsidRDefault="00C253ED" w:rsidP="00C253ED">
      <w:pPr>
        <w:ind w:right="283"/>
        <w:jc w:val="center"/>
      </w:pPr>
      <w:r w:rsidRPr="004921B4">
        <w:rPr>
          <w:noProof/>
        </w:rPr>
        <w:drawing>
          <wp:inline distT="0" distB="0" distL="0" distR="0" wp14:anchorId="63B0272A" wp14:editId="21844DF1">
            <wp:extent cx="5048250" cy="15525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48250" cy="1552575"/>
                    </a:xfrm>
                    <a:prstGeom prst="rect">
                      <a:avLst/>
                    </a:prstGeom>
                    <a:noFill/>
                    <a:ln>
                      <a:noFill/>
                    </a:ln>
                  </pic:spPr>
                </pic:pic>
              </a:graphicData>
            </a:graphic>
          </wp:inline>
        </w:drawing>
      </w:r>
    </w:p>
    <w:p w14:paraId="649133C2" w14:textId="747AA180" w:rsidR="0055665C" w:rsidRDefault="0055665C" w:rsidP="00C253ED">
      <w:pPr>
        <w:ind w:right="283"/>
        <w:jc w:val="center"/>
      </w:pPr>
      <w:r w:rsidRPr="0055665C">
        <w:rPr>
          <w:noProof/>
        </w:rPr>
        <w:drawing>
          <wp:inline distT="0" distB="0" distL="0" distR="0" wp14:anchorId="63956F9E" wp14:editId="45D76CED">
            <wp:extent cx="5052060" cy="15519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52060" cy="1551940"/>
                    </a:xfrm>
                    <a:prstGeom prst="rect">
                      <a:avLst/>
                    </a:prstGeom>
                    <a:noFill/>
                    <a:ln>
                      <a:noFill/>
                    </a:ln>
                  </pic:spPr>
                </pic:pic>
              </a:graphicData>
            </a:graphic>
          </wp:inline>
        </w:drawing>
      </w:r>
    </w:p>
    <w:p w14:paraId="3118543D" w14:textId="2D10F19F" w:rsidR="00C253ED" w:rsidRDefault="00C253ED" w:rsidP="0055665C">
      <w:pPr>
        <w:ind w:right="283"/>
        <w:rPr>
          <w:sz w:val="16"/>
          <w:szCs w:val="16"/>
        </w:rPr>
      </w:pPr>
      <w:r w:rsidRPr="00DC2B1C">
        <w:rPr>
          <w:sz w:val="16"/>
          <w:szCs w:val="16"/>
        </w:rPr>
        <w:t xml:space="preserve">Note: </w:t>
      </w:r>
      <w:r w:rsidRPr="00A4065A">
        <w:rPr>
          <w:sz w:val="16"/>
          <w:szCs w:val="16"/>
        </w:rPr>
        <w:t>The prescriber type is based on the prescriber's registered specialties and Medicare services</w:t>
      </w:r>
      <w:r>
        <w:rPr>
          <w:sz w:val="16"/>
          <w:szCs w:val="16"/>
        </w:rPr>
        <w:t xml:space="preserve">. As a result, a prescriber can appear in more than one category over time. </w:t>
      </w:r>
      <w:r w:rsidR="0055665C" w:rsidRPr="00442281">
        <w:rPr>
          <w:sz w:val="16"/>
          <w:szCs w:val="16"/>
        </w:rPr>
        <w:t>Counts less than 5 have been suppressed to protect privacy and data confidentiality</w:t>
      </w:r>
      <w:r w:rsidR="0055665C">
        <w:rPr>
          <w:sz w:val="16"/>
          <w:szCs w:val="16"/>
        </w:rPr>
        <w:t>.</w:t>
      </w:r>
    </w:p>
    <w:p w14:paraId="0D646F32" w14:textId="224542AD" w:rsidR="00C253ED" w:rsidRPr="00076257" w:rsidRDefault="00C253ED" w:rsidP="00C253ED">
      <w:pPr>
        <w:ind w:right="283"/>
      </w:pPr>
      <w:r>
        <w:t xml:space="preserve">In </w:t>
      </w:r>
      <w:r w:rsidRPr="0092089B">
        <w:t xml:space="preserve">the </w:t>
      </w:r>
      <w:r>
        <w:t xml:space="preserve">first reporting </w:t>
      </w:r>
      <w:r w:rsidRPr="0092089B">
        <w:t>period</w:t>
      </w:r>
      <w:r>
        <w:t>, t</w:t>
      </w:r>
      <w:r w:rsidRPr="009161D3">
        <w:t xml:space="preserve">he highest proportionate patient caseload among prescribing GPs was reported in </w:t>
      </w:r>
      <w:r>
        <w:t xml:space="preserve">the Kimberley </w:t>
      </w:r>
      <w:r w:rsidRPr="009161D3">
        <w:t>region</w:t>
      </w:r>
      <w:r>
        <w:t xml:space="preserve">. In the current reporting period, the proportionate patient caseload </w:t>
      </w:r>
      <w:r w:rsidRPr="005A2381">
        <w:t xml:space="preserve">among prescribing GPs </w:t>
      </w:r>
      <w:r>
        <w:t xml:space="preserve">only increased in the Great </w:t>
      </w:r>
      <w:r w:rsidRPr="00076257">
        <w:t>Southern</w:t>
      </w:r>
      <w:r w:rsidR="007925FF">
        <w:t xml:space="preserve"> </w:t>
      </w:r>
      <w:r w:rsidRPr="00076257">
        <w:t>region (Figure 2</w:t>
      </w:r>
      <w:r>
        <w:t>1</w:t>
      </w:r>
      <w:r w:rsidRPr="00076257">
        <w:t xml:space="preserve"> and Figure 2</w:t>
      </w:r>
      <w:r>
        <w:t>2</w:t>
      </w:r>
      <w:r w:rsidRPr="00076257">
        <w:t>).</w:t>
      </w:r>
    </w:p>
    <w:p w14:paraId="610A8C22" w14:textId="238A8A23" w:rsidR="00C253ED" w:rsidRDefault="00C253ED" w:rsidP="00C253ED">
      <w:pPr>
        <w:ind w:right="283"/>
      </w:pPr>
      <w:r>
        <w:t xml:space="preserve">In the first reporting period, the highest proportionate patient caseload among prescribing specialists was reported in the Great Southern and Wheatbelt regions. In the current reporting period, </w:t>
      </w:r>
      <w:r w:rsidRPr="00B3073B">
        <w:t xml:space="preserve">the proportionate patient caseload among prescribing </w:t>
      </w:r>
      <w:r>
        <w:t>specialists</w:t>
      </w:r>
      <w:r w:rsidRPr="00B3073B">
        <w:t xml:space="preserve"> </w:t>
      </w:r>
      <w:r w:rsidR="009618B4">
        <w:t xml:space="preserve">did not increase in any </w:t>
      </w:r>
      <w:r>
        <w:t>regions (Figure 23 and Figure 24).</w:t>
      </w:r>
    </w:p>
    <w:p w14:paraId="6CAECC51" w14:textId="77777777" w:rsidR="00C253ED" w:rsidRPr="00076257" w:rsidRDefault="00C253ED" w:rsidP="00C253ED">
      <w:pPr>
        <w:pStyle w:val="Caption"/>
        <w:ind w:right="283"/>
        <w:rPr>
          <w:sz w:val="24"/>
          <w:szCs w:val="22"/>
        </w:rPr>
      </w:pPr>
      <w:r>
        <w:br w:type="page"/>
      </w:r>
      <w:r w:rsidRPr="00076257">
        <w:lastRenderedPageBreak/>
        <w:t xml:space="preserve">Figure </w:t>
      </w:r>
      <w:r w:rsidR="00C62955">
        <w:rPr>
          <w:noProof/>
        </w:rPr>
        <w:fldChar w:fldCharType="begin"/>
      </w:r>
      <w:r w:rsidR="00C62955">
        <w:rPr>
          <w:noProof/>
        </w:rPr>
        <w:instrText xml:space="preserve"> SEQ Figure \* ARABIC </w:instrText>
      </w:r>
      <w:r w:rsidR="00C62955">
        <w:rPr>
          <w:noProof/>
        </w:rPr>
        <w:fldChar w:fldCharType="separate"/>
      </w:r>
      <w:r>
        <w:rPr>
          <w:noProof/>
        </w:rPr>
        <w:t>21</w:t>
      </w:r>
      <w:r w:rsidR="00C62955">
        <w:rPr>
          <w:noProof/>
        </w:rPr>
        <w:fldChar w:fldCharType="end"/>
      </w:r>
      <w:r w:rsidRPr="00076257">
        <w:t>. Proportion of GPs treating 1, 2 to 9 and 10 or more WA residents with DAA treatment by health region of residence, March 2016 to September 2016</w:t>
      </w:r>
    </w:p>
    <w:p w14:paraId="08E122B6" w14:textId="4A1723E9" w:rsidR="00C253ED" w:rsidRPr="00076257" w:rsidRDefault="00C253ED" w:rsidP="00C253ED">
      <w:pPr>
        <w:ind w:right="283"/>
        <w:jc w:val="center"/>
      </w:pPr>
      <w:r w:rsidRPr="00076257">
        <w:rPr>
          <w:noProof/>
        </w:rPr>
        <w:drawing>
          <wp:inline distT="0" distB="0" distL="0" distR="0" wp14:anchorId="35826AE6" wp14:editId="71183E33">
            <wp:extent cx="5829300" cy="38004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29300" cy="3800475"/>
                    </a:xfrm>
                    <a:prstGeom prst="rect">
                      <a:avLst/>
                    </a:prstGeom>
                    <a:noFill/>
                    <a:ln>
                      <a:noFill/>
                    </a:ln>
                  </pic:spPr>
                </pic:pic>
              </a:graphicData>
            </a:graphic>
          </wp:inline>
        </w:drawing>
      </w:r>
    </w:p>
    <w:p w14:paraId="3FFD4728" w14:textId="7AD58962" w:rsidR="00C253ED" w:rsidRDefault="00C253ED" w:rsidP="00C253ED">
      <w:pPr>
        <w:pStyle w:val="Caption"/>
        <w:ind w:right="283"/>
      </w:pPr>
      <w:r w:rsidRPr="00076257">
        <w:t xml:space="preserve">Figure </w:t>
      </w:r>
      <w:r w:rsidR="00C62955">
        <w:rPr>
          <w:noProof/>
        </w:rPr>
        <w:fldChar w:fldCharType="begin"/>
      </w:r>
      <w:r w:rsidR="00C62955">
        <w:rPr>
          <w:noProof/>
        </w:rPr>
        <w:instrText xml:space="preserve"> SEQ Figure \* ARABIC </w:instrText>
      </w:r>
      <w:r w:rsidR="00C62955">
        <w:rPr>
          <w:noProof/>
        </w:rPr>
        <w:fldChar w:fldCharType="separate"/>
      </w:r>
      <w:r>
        <w:rPr>
          <w:noProof/>
        </w:rPr>
        <w:t>22</w:t>
      </w:r>
      <w:r w:rsidR="00C62955">
        <w:rPr>
          <w:noProof/>
        </w:rPr>
        <w:fldChar w:fldCharType="end"/>
      </w:r>
      <w:r w:rsidRPr="00076257">
        <w:t xml:space="preserve">. Proportion of GPs treating 1, 2 to 9 and 10 or more WA residents with DAA treatment by health region of residence, </w:t>
      </w:r>
      <w:r w:rsidRPr="00807BBD">
        <w:t>October 201</w:t>
      </w:r>
      <w:r w:rsidR="00210772">
        <w:t>9</w:t>
      </w:r>
      <w:r w:rsidRPr="00807BBD">
        <w:t xml:space="preserve"> to March 20</w:t>
      </w:r>
      <w:r w:rsidR="00210772">
        <w:t>20</w:t>
      </w:r>
    </w:p>
    <w:p w14:paraId="7843F04A" w14:textId="061AD42A" w:rsidR="009B1C63" w:rsidRPr="0050120C" w:rsidRDefault="009B1C63" w:rsidP="00C253ED">
      <w:pPr>
        <w:ind w:right="283"/>
        <w:jc w:val="center"/>
      </w:pPr>
      <w:r w:rsidRPr="009B1C63">
        <w:rPr>
          <w:noProof/>
        </w:rPr>
        <w:drawing>
          <wp:inline distT="0" distB="0" distL="0" distR="0" wp14:anchorId="7B246BE6" wp14:editId="4692A7C4">
            <wp:extent cx="5824744" cy="3801600"/>
            <wp:effectExtent l="0" t="0" r="508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824744" cy="3801600"/>
                    </a:xfrm>
                    <a:prstGeom prst="rect">
                      <a:avLst/>
                    </a:prstGeom>
                    <a:noFill/>
                    <a:ln>
                      <a:noFill/>
                    </a:ln>
                  </pic:spPr>
                </pic:pic>
              </a:graphicData>
            </a:graphic>
          </wp:inline>
        </w:drawing>
      </w:r>
    </w:p>
    <w:p w14:paraId="623A9BFC" w14:textId="77777777" w:rsidR="00C253ED" w:rsidRPr="006C3448" w:rsidRDefault="00C253ED" w:rsidP="00C253ED">
      <w:pPr>
        <w:pStyle w:val="Caption"/>
        <w:ind w:right="283"/>
      </w:pPr>
      <w:r>
        <w:br w:type="page"/>
      </w:r>
      <w:r w:rsidRPr="006C3448">
        <w:lastRenderedPageBreak/>
        <w:t xml:space="preserve">Figure </w:t>
      </w:r>
      <w:r w:rsidR="00C62955">
        <w:rPr>
          <w:noProof/>
        </w:rPr>
        <w:fldChar w:fldCharType="begin"/>
      </w:r>
      <w:r w:rsidR="00C62955">
        <w:rPr>
          <w:noProof/>
        </w:rPr>
        <w:instrText xml:space="preserve"> SEQ Figure \* ARABIC </w:instrText>
      </w:r>
      <w:r w:rsidR="00C62955">
        <w:rPr>
          <w:noProof/>
        </w:rPr>
        <w:fldChar w:fldCharType="separate"/>
      </w:r>
      <w:r>
        <w:rPr>
          <w:noProof/>
        </w:rPr>
        <w:t>23</w:t>
      </w:r>
      <w:r w:rsidR="00C62955">
        <w:rPr>
          <w:noProof/>
        </w:rPr>
        <w:fldChar w:fldCharType="end"/>
      </w:r>
      <w:r w:rsidRPr="006C3448">
        <w:t>. Proportion of Specialists treating 1, 2 to 9 and 10 or more patients WA residents with DAA treatment by health region of residence, March 2016 to September 2016</w:t>
      </w:r>
    </w:p>
    <w:p w14:paraId="7D7EEE7B" w14:textId="6E1295F7" w:rsidR="00C253ED" w:rsidRPr="006C3448" w:rsidRDefault="00C253ED" w:rsidP="00C253ED">
      <w:pPr>
        <w:ind w:right="283"/>
        <w:jc w:val="center"/>
      </w:pPr>
      <w:r w:rsidRPr="006C3448">
        <w:rPr>
          <w:noProof/>
        </w:rPr>
        <w:drawing>
          <wp:inline distT="0" distB="0" distL="0" distR="0" wp14:anchorId="6208263A" wp14:editId="2ED64B46">
            <wp:extent cx="5848350" cy="38004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48350" cy="3800475"/>
                    </a:xfrm>
                    <a:prstGeom prst="rect">
                      <a:avLst/>
                    </a:prstGeom>
                    <a:noFill/>
                    <a:ln>
                      <a:noFill/>
                    </a:ln>
                  </pic:spPr>
                </pic:pic>
              </a:graphicData>
            </a:graphic>
          </wp:inline>
        </w:drawing>
      </w:r>
    </w:p>
    <w:p w14:paraId="098FE005" w14:textId="77777777" w:rsidR="00C253ED" w:rsidRPr="006C3448" w:rsidRDefault="00C253ED" w:rsidP="00C253ED">
      <w:pPr>
        <w:pStyle w:val="Caption"/>
        <w:ind w:right="283"/>
      </w:pPr>
      <w:r w:rsidRPr="006C3448">
        <w:t xml:space="preserve">Figure </w:t>
      </w:r>
      <w:r w:rsidR="00C62955">
        <w:rPr>
          <w:noProof/>
        </w:rPr>
        <w:fldChar w:fldCharType="begin"/>
      </w:r>
      <w:r w:rsidR="00C62955">
        <w:rPr>
          <w:noProof/>
        </w:rPr>
        <w:instrText xml:space="preserve"> SEQ Figure \* ARABIC </w:instrText>
      </w:r>
      <w:r w:rsidR="00C62955">
        <w:rPr>
          <w:noProof/>
        </w:rPr>
        <w:fldChar w:fldCharType="separate"/>
      </w:r>
      <w:r>
        <w:rPr>
          <w:noProof/>
        </w:rPr>
        <w:t>24</w:t>
      </w:r>
      <w:r w:rsidR="00C62955">
        <w:rPr>
          <w:noProof/>
        </w:rPr>
        <w:fldChar w:fldCharType="end"/>
      </w:r>
      <w:r w:rsidRPr="006C3448">
        <w:t xml:space="preserve">. Proportion of Specialists treating 1, 2 to 9 and 10 or more patients WA residents with DAA treatment by health region of residence, </w:t>
      </w:r>
      <w:r w:rsidRPr="00807BBD">
        <w:t>October 2018 to March 2019</w:t>
      </w:r>
    </w:p>
    <w:p w14:paraId="6CE0F7B6" w14:textId="703EF2A7" w:rsidR="008D56C0" w:rsidRPr="00413A4A" w:rsidRDefault="008D56C0" w:rsidP="00C253ED">
      <w:pPr>
        <w:ind w:right="283"/>
        <w:jc w:val="center"/>
      </w:pPr>
      <w:r w:rsidRPr="008D56C0">
        <w:rPr>
          <w:noProof/>
        </w:rPr>
        <w:drawing>
          <wp:inline distT="0" distB="0" distL="0" distR="0" wp14:anchorId="0DB7ED48" wp14:editId="7A2CC00E">
            <wp:extent cx="5824744" cy="3801600"/>
            <wp:effectExtent l="0" t="0" r="508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824744" cy="3801600"/>
                    </a:xfrm>
                    <a:prstGeom prst="rect">
                      <a:avLst/>
                    </a:prstGeom>
                    <a:noFill/>
                    <a:ln>
                      <a:noFill/>
                    </a:ln>
                  </pic:spPr>
                </pic:pic>
              </a:graphicData>
            </a:graphic>
          </wp:inline>
        </w:drawing>
      </w:r>
    </w:p>
    <w:p w14:paraId="421382C9" w14:textId="77777777" w:rsidR="00C253ED" w:rsidRPr="00FB642D" w:rsidRDefault="00C253ED" w:rsidP="00C253ED">
      <w:pPr>
        <w:ind w:right="283"/>
        <w:rPr>
          <w:rStyle w:val="Heading1Char"/>
          <w:rFonts w:eastAsia="Calibri"/>
        </w:rPr>
      </w:pPr>
      <w:r>
        <w:rPr>
          <w:rStyle w:val="Heading1Char"/>
          <w:rFonts w:eastAsia="Calibri"/>
        </w:rPr>
        <w:br w:type="page"/>
      </w:r>
      <w:bookmarkStart w:id="31" w:name="_Toc501112775"/>
      <w:bookmarkStart w:id="32" w:name="_Toc60839115"/>
      <w:r w:rsidRPr="000E7382">
        <w:rPr>
          <w:rStyle w:val="Heading1Char"/>
          <w:rFonts w:eastAsia="Calibri"/>
        </w:rPr>
        <w:lastRenderedPageBreak/>
        <w:t>References</w:t>
      </w:r>
      <w:bookmarkEnd w:id="31"/>
      <w:bookmarkEnd w:id="32"/>
    </w:p>
    <w:p w14:paraId="018D3230" w14:textId="77777777" w:rsidR="00C253ED" w:rsidRPr="005A2B17" w:rsidRDefault="00C253ED" w:rsidP="00C253ED">
      <w:pPr>
        <w:numPr>
          <w:ilvl w:val="0"/>
          <w:numId w:val="11"/>
        </w:numPr>
        <w:ind w:left="426" w:right="283" w:hanging="426"/>
      </w:pPr>
      <w:r>
        <w:t xml:space="preserve">Program Evaluation Unit, Department of Treasury WA </w:t>
      </w:r>
      <w:r w:rsidRPr="005A2B17">
        <w:t>(2016). Geographic</w:t>
      </w:r>
      <w:r>
        <w:t xml:space="preserve"> boundaries in Western Australia. A guide for analysts and data users. Perth: Department of Treasury WA</w:t>
      </w:r>
    </w:p>
    <w:p w14:paraId="1BFC99C8" w14:textId="2C91D187" w:rsidR="00F01F10" w:rsidRPr="00F01F10" w:rsidRDefault="00F01F10" w:rsidP="00F01F10">
      <w:pPr>
        <w:numPr>
          <w:ilvl w:val="0"/>
          <w:numId w:val="11"/>
        </w:numPr>
        <w:ind w:left="426" w:right="283" w:hanging="426"/>
      </w:pPr>
      <w:r w:rsidRPr="00F01F10">
        <w:t xml:space="preserve">Australasian Society for HIV, Viral Hepatitis and Sexual Health Medicine (2020). Viral hepatitis mapping project: National report 2018-19. NSW: Australasian Society for HIV, Viral Hepatitis and Sexual Health Medicine </w:t>
      </w:r>
    </w:p>
    <w:p w14:paraId="3BDA169B" w14:textId="77777777" w:rsidR="00F01F10" w:rsidRDefault="00F01F10" w:rsidP="00F01F10">
      <w:pPr>
        <w:ind w:left="426" w:right="283"/>
      </w:pPr>
    </w:p>
    <w:p w14:paraId="29E82E98" w14:textId="77777777" w:rsidR="00C253ED" w:rsidRDefault="00C253ED" w:rsidP="00C253ED">
      <w:pPr>
        <w:ind w:right="283"/>
      </w:pPr>
    </w:p>
    <w:p w14:paraId="4B505393" w14:textId="77777777" w:rsidR="00C253ED" w:rsidRDefault="00C253ED" w:rsidP="00C253ED">
      <w:pPr>
        <w:numPr>
          <w:ilvl w:val="0"/>
          <w:numId w:val="11"/>
        </w:numPr>
        <w:ind w:right="283"/>
        <w:sectPr w:rsidR="00C253ED" w:rsidSect="00C663DB">
          <w:headerReference w:type="default" r:id="rId43"/>
          <w:footerReference w:type="default" r:id="rId44"/>
          <w:pgSz w:w="11906" w:h="16838"/>
          <w:pgMar w:top="1418" w:right="851" w:bottom="1418" w:left="1276" w:header="709" w:footer="397" w:gutter="0"/>
          <w:pgNumType w:start="1"/>
          <w:cols w:space="708"/>
          <w:docGrid w:linePitch="360"/>
        </w:sectPr>
      </w:pPr>
    </w:p>
    <w:p w14:paraId="5336F973" w14:textId="77777777" w:rsidR="000A06FA" w:rsidRDefault="000A06FA" w:rsidP="00F62BCC">
      <w:pPr>
        <w:spacing w:after="360"/>
      </w:pPr>
    </w:p>
    <w:p w14:paraId="5336F974" w14:textId="77777777" w:rsidR="0068033E" w:rsidRPr="004D0A1D" w:rsidRDefault="0068033E" w:rsidP="00F62BCC">
      <w:pPr>
        <w:spacing w:after="360"/>
        <w:rPr>
          <w:rStyle w:val="Bold"/>
          <w:color w:val="005B38"/>
          <w:sz w:val="36"/>
          <w:szCs w:val="36"/>
        </w:rPr>
      </w:pPr>
    </w:p>
    <w:p w14:paraId="5336F975" w14:textId="77777777" w:rsidR="00375931" w:rsidRPr="00AF7C07" w:rsidRDefault="00743BE0" w:rsidP="000C1184">
      <w:pPr>
        <w:spacing w:after="240"/>
        <w:rPr>
          <w:b/>
        </w:rPr>
      </w:pPr>
      <w:r w:rsidRPr="00AF7C07">
        <w:rPr>
          <w:b/>
        </w:rPr>
        <w:t>This document can be made avai</w:t>
      </w:r>
      <w:r w:rsidR="00427800" w:rsidRPr="00AF7C07">
        <w:rPr>
          <w:b/>
        </w:rPr>
        <w:t xml:space="preserve">lable in alternative formats </w:t>
      </w:r>
      <w:r w:rsidR="000C1184" w:rsidRPr="00AF7C07">
        <w:rPr>
          <w:b/>
        </w:rPr>
        <w:br/>
      </w:r>
      <w:r w:rsidR="00427800" w:rsidRPr="00AF7C07">
        <w:rPr>
          <w:b/>
        </w:rPr>
        <w:t xml:space="preserve">on </w:t>
      </w:r>
      <w:r w:rsidR="00646A90">
        <w:rPr>
          <w:b/>
        </w:rPr>
        <w:t xml:space="preserve">request for a person with </w:t>
      </w:r>
      <w:r w:rsidRPr="00AF7C07">
        <w:rPr>
          <w:b/>
        </w:rPr>
        <w:t>disability.</w:t>
      </w:r>
    </w:p>
    <w:p w14:paraId="5336F976" w14:textId="3DB27E22" w:rsidR="00743BE0" w:rsidRDefault="00183A46" w:rsidP="000C1184">
      <w:pPr>
        <w:spacing w:after="300"/>
        <w:ind w:right="-1"/>
      </w:pPr>
      <w:r>
        <w:t xml:space="preserve">© Department of Health </w:t>
      </w:r>
      <w:r w:rsidR="007E777B">
        <w:t>202</w:t>
      </w:r>
      <w:r w:rsidR="00C253ED">
        <w:t>1</w:t>
      </w:r>
    </w:p>
    <w:p w14:paraId="5336F977" w14:textId="77777777" w:rsidR="00EF313F" w:rsidRPr="00EF313F" w:rsidRDefault="0000010A" w:rsidP="000C1184">
      <w:pPr>
        <w:pStyle w:val="TEXT"/>
        <w:spacing w:line="240" w:lineRule="auto"/>
        <w:ind w:right="-1"/>
        <w:rPr>
          <w:rFonts w:ascii="Arial" w:hAnsi="Arial"/>
          <w:sz w:val="22"/>
          <w:szCs w:val="22"/>
        </w:rPr>
      </w:pPr>
      <w:r w:rsidRPr="0000010A">
        <w:rPr>
          <w:rFonts w:ascii="Arial" w:hAnsi="Arial"/>
          <w:sz w:val="22"/>
          <w:szCs w:val="22"/>
        </w:rPr>
        <w:t>Copyright to this material is vested in the State of Western Australia unless otherwise indicated. Apart from any fair dealing for the purposes of priv</w:t>
      </w:r>
      <w:r>
        <w:rPr>
          <w:rFonts w:ascii="Arial" w:hAnsi="Arial"/>
          <w:sz w:val="22"/>
          <w:szCs w:val="22"/>
        </w:rPr>
        <w:t xml:space="preserve">ate study, research, criticism </w:t>
      </w:r>
      <w:r w:rsidRPr="0000010A">
        <w:rPr>
          <w:rFonts w:ascii="Arial" w:hAnsi="Arial"/>
          <w:sz w:val="22"/>
          <w:szCs w:val="22"/>
        </w:rPr>
        <w:t xml:space="preserve">or review, as permitted under the provisions of the </w:t>
      </w:r>
      <w:r w:rsidRPr="0000010A">
        <w:rPr>
          <w:rFonts w:ascii="Arial" w:hAnsi="Arial" w:cs="ArialMTStd-Italic"/>
          <w:i/>
          <w:iCs/>
          <w:sz w:val="22"/>
          <w:szCs w:val="22"/>
        </w:rPr>
        <w:t>Copyright Act 1968</w:t>
      </w:r>
      <w:r w:rsidRPr="0000010A">
        <w:rPr>
          <w:rFonts w:ascii="Arial" w:hAnsi="Arial"/>
          <w:sz w:val="22"/>
          <w:szCs w:val="22"/>
        </w:rPr>
        <w:t>, no part may be reproduced or re-used for any purposes whatsoever without written permission of the State of Western Australia.</w:t>
      </w:r>
    </w:p>
    <w:sectPr w:rsidR="00EF313F" w:rsidRPr="00EF313F" w:rsidSect="00295899">
      <w:headerReference w:type="default" r:id="rId45"/>
      <w:footerReference w:type="default" r:id="rId46"/>
      <w:pgSz w:w="11906" w:h="16838"/>
      <w:pgMar w:top="11908" w:right="849" w:bottom="14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6F97C" w14:textId="77777777" w:rsidR="00FF133A" w:rsidRDefault="00FF133A" w:rsidP="00743BE0">
      <w:pPr>
        <w:spacing w:after="0"/>
      </w:pPr>
      <w:r>
        <w:separator/>
      </w:r>
    </w:p>
  </w:endnote>
  <w:endnote w:type="continuationSeparator" w:id="0">
    <w:p w14:paraId="5336F97D" w14:textId="77777777" w:rsidR="00FF133A" w:rsidRDefault="00FF133A" w:rsidP="00743B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MTStd">
    <w:altName w:val="Arial"/>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MTStd-Italic">
    <w:altName w:val="Genev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6F97F" w14:textId="77777777" w:rsidR="00F34BF2" w:rsidRPr="004D0A1D" w:rsidRDefault="00F34BF2" w:rsidP="001D1B70">
    <w:pPr>
      <w:spacing w:after="240"/>
      <w:jc w:val="center"/>
      <w:rPr>
        <w:b/>
        <w:color w:val="005B38"/>
        <w:sz w:val="36"/>
        <w:szCs w:val="3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1A588" w14:textId="77777777" w:rsidR="00C253ED" w:rsidRPr="00375931" w:rsidRDefault="00C253ED" w:rsidP="00771E1C">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6F983" w14:textId="77777777" w:rsidR="00D741DD" w:rsidRDefault="00D741DD" w:rsidP="00375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6F97A" w14:textId="77777777" w:rsidR="00FF133A" w:rsidRDefault="00FF133A" w:rsidP="00743BE0">
      <w:pPr>
        <w:spacing w:after="0"/>
      </w:pPr>
      <w:r>
        <w:separator/>
      </w:r>
    </w:p>
  </w:footnote>
  <w:footnote w:type="continuationSeparator" w:id="0">
    <w:p w14:paraId="5336F97B" w14:textId="77777777" w:rsidR="00FF133A" w:rsidRDefault="00FF133A" w:rsidP="00743B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6F97E" w14:textId="77777777" w:rsidR="0068033E" w:rsidRDefault="009570CB">
    <w:pPr>
      <w:pStyle w:val="Header"/>
    </w:pPr>
    <w:r>
      <w:rPr>
        <w:noProof/>
        <w:lang w:eastAsia="en-AU"/>
      </w:rPr>
      <w:drawing>
        <wp:anchor distT="0" distB="0" distL="114300" distR="114300" simplePos="0" relativeHeight="251659264" behindDoc="1" locked="0" layoutInCell="1" allowOverlap="1" wp14:anchorId="5336F984" wp14:editId="5336F985">
          <wp:simplePos x="0" y="0"/>
          <wp:positionH relativeFrom="page">
            <wp:posOffset>0</wp:posOffset>
          </wp:positionH>
          <wp:positionV relativeFrom="page">
            <wp:posOffset>0</wp:posOffset>
          </wp:positionV>
          <wp:extent cx="7558768" cy="10691999"/>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image for the Report style 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30222" w14:textId="77777777" w:rsidR="00C253ED" w:rsidRDefault="00C253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6F982" w14:textId="77777777" w:rsidR="00D741DD" w:rsidRDefault="00D74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F6C47"/>
    <w:multiLevelType w:val="hybridMultilevel"/>
    <w:tmpl w:val="C5CCD2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983F88"/>
    <w:multiLevelType w:val="hybridMultilevel"/>
    <w:tmpl w:val="016E1686"/>
    <w:lvl w:ilvl="0" w:tplc="3E942A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5C1DDC"/>
    <w:multiLevelType w:val="hybridMultilevel"/>
    <w:tmpl w:val="93A00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C269BC"/>
    <w:multiLevelType w:val="hybridMultilevel"/>
    <w:tmpl w:val="ACB4F974"/>
    <w:lvl w:ilvl="0" w:tplc="A1A26DB2">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487122"/>
    <w:multiLevelType w:val="hybridMultilevel"/>
    <w:tmpl w:val="C6CE596C"/>
    <w:lvl w:ilvl="0" w:tplc="3E942AA8">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7B7947"/>
    <w:multiLevelType w:val="hybridMultilevel"/>
    <w:tmpl w:val="F2C61952"/>
    <w:lvl w:ilvl="0" w:tplc="0C090001">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1D5237"/>
    <w:multiLevelType w:val="hybridMultilevel"/>
    <w:tmpl w:val="7C2C24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B4B05C2"/>
    <w:multiLevelType w:val="hybridMultilevel"/>
    <w:tmpl w:val="37ECC3C4"/>
    <w:lvl w:ilvl="0" w:tplc="1CBCAE32">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004B8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CA4B5C"/>
    <w:multiLevelType w:val="hybridMultilevel"/>
    <w:tmpl w:val="28BADFC2"/>
    <w:lvl w:ilvl="0" w:tplc="0C090001">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D1318E5"/>
    <w:multiLevelType w:val="hybridMultilevel"/>
    <w:tmpl w:val="A32AEDB4"/>
    <w:lvl w:ilvl="0" w:tplc="596E659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5"/>
  </w:num>
  <w:num w:numId="5">
    <w:abstractNumId w:val="4"/>
  </w:num>
  <w:num w:numId="6">
    <w:abstractNumId w:val="1"/>
  </w:num>
  <w:num w:numId="7">
    <w:abstractNumId w:val="6"/>
  </w:num>
  <w:num w:numId="8">
    <w:abstractNumId w:val="10"/>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71"/>
    <w:rsid w:val="0000010A"/>
    <w:rsid w:val="000031F3"/>
    <w:rsid w:val="00021059"/>
    <w:rsid w:val="00054EF7"/>
    <w:rsid w:val="00057FAE"/>
    <w:rsid w:val="000621A0"/>
    <w:rsid w:val="00063EC5"/>
    <w:rsid w:val="00073335"/>
    <w:rsid w:val="00074EBF"/>
    <w:rsid w:val="00083BBA"/>
    <w:rsid w:val="000A018D"/>
    <w:rsid w:val="000A06FA"/>
    <w:rsid w:val="000A2672"/>
    <w:rsid w:val="000A3AE6"/>
    <w:rsid w:val="000B5E4E"/>
    <w:rsid w:val="000C1184"/>
    <w:rsid w:val="000D36AC"/>
    <w:rsid w:val="000D4131"/>
    <w:rsid w:val="000D54B4"/>
    <w:rsid w:val="00126022"/>
    <w:rsid w:val="001362B1"/>
    <w:rsid w:val="001437E0"/>
    <w:rsid w:val="00146A28"/>
    <w:rsid w:val="001523B5"/>
    <w:rsid w:val="0016439E"/>
    <w:rsid w:val="00167285"/>
    <w:rsid w:val="00171B7B"/>
    <w:rsid w:val="001743E6"/>
    <w:rsid w:val="00183A46"/>
    <w:rsid w:val="001C7D1F"/>
    <w:rsid w:val="001D1B70"/>
    <w:rsid w:val="001E61A5"/>
    <w:rsid w:val="001F6030"/>
    <w:rsid w:val="001F68E9"/>
    <w:rsid w:val="001F6912"/>
    <w:rsid w:val="00200840"/>
    <w:rsid w:val="00204D71"/>
    <w:rsid w:val="002057D5"/>
    <w:rsid w:val="00210772"/>
    <w:rsid w:val="0021574B"/>
    <w:rsid w:val="00216D11"/>
    <w:rsid w:val="002203F2"/>
    <w:rsid w:val="00220E8F"/>
    <w:rsid w:val="00233D5C"/>
    <w:rsid w:val="002365C9"/>
    <w:rsid w:val="002506B5"/>
    <w:rsid w:val="00295899"/>
    <w:rsid w:val="00295FFF"/>
    <w:rsid w:val="002C7D7D"/>
    <w:rsid w:val="002E45C8"/>
    <w:rsid w:val="00300847"/>
    <w:rsid w:val="00304906"/>
    <w:rsid w:val="003472CF"/>
    <w:rsid w:val="00352BDB"/>
    <w:rsid w:val="00353FB1"/>
    <w:rsid w:val="00355004"/>
    <w:rsid w:val="00366E40"/>
    <w:rsid w:val="00367085"/>
    <w:rsid w:val="00375931"/>
    <w:rsid w:val="003929E7"/>
    <w:rsid w:val="003979CF"/>
    <w:rsid w:val="003C1EDA"/>
    <w:rsid w:val="003E5503"/>
    <w:rsid w:val="003F5372"/>
    <w:rsid w:val="004118A4"/>
    <w:rsid w:val="00427800"/>
    <w:rsid w:val="00430B6F"/>
    <w:rsid w:val="004312EB"/>
    <w:rsid w:val="0043356B"/>
    <w:rsid w:val="00433B0D"/>
    <w:rsid w:val="00436AF2"/>
    <w:rsid w:val="00440B63"/>
    <w:rsid w:val="004444FF"/>
    <w:rsid w:val="004447AF"/>
    <w:rsid w:val="0045070D"/>
    <w:rsid w:val="00457D0E"/>
    <w:rsid w:val="00466DB9"/>
    <w:rsid w:val="00470C6D"/>
    <w:rsid w:val="00471692"/>
    <w:rsid w:val="00494AB9"/>
    <w:rsid w:val="004969AA"/>
    <w:rsid w:val="004A609E"/>
    <w:rsid w:val="004C185D"/>
    <w:rsid w:val="004C2780"/>
    <w:rsid w:val="004C6976"/>
    <w:rsid w:val="004D0A1D"/>
    <w:rsid w:val="0050731C"/>
    <w:rsid w:val="00525E69"/>
    <w:rsid w:val="00535E0C"/>
    <w:rsid w:val="0054290E"/>
    <w:rsid w:val="00550D42"/>
    <w:rsid w:val="0055665C"/>
    <w:rsid w:val="0056716B"/>
    <w:rsid w:val="00584BE6"/>
    <w:rsid w:val="00591857"/>
    <w:rsid w:val="005949AC"/>
    <w:rsid w:val="0059638A"/>
    <w:rsid w:val="005A409E"/>
    <w:rsid w:val="005B432D"/>
    <w:rsid w:val="005F205F"/>
    <w:rsid w:val="005F208A"/>
    <w:rsid w:val="005F7284"/>
    <w:rsid w:val="0064686E"/>
    <w:rsid w:val="00646A90"/>
    <w:rsid w:val="00667EAF"/>
    <w:rsid w:val="0068033E"/>
    <w:rsid w:val="00693CF5"/>
    <w:rsid w:val="006A5F6D"/>
    <w:rsid w:val="006C047F"/>
    <w:rsid w:val="006C6341"/>
    <w:rsid w:val="006D3D54"/>
    <w:rsid w:val="006F52D0"/>
    <w:rsid w:val="00714886"/>
    <w:rsid w:val="00717CBA"/>
    <w:rsid w:val="00720D2F"/>
    <w:rsid w:val="0073725A"/>
    <w:rsid w:val="007411E6"/>
    <w:rsid w:val="00741C1E"/>
    <w:rsid w:val="00743BE0"/>
    <w:rsid w:val="0077027C"/>
    <w:rsid w:val="00771E1C"/>
    <w:rsid w:val="00783E3F"/>
    <w:rsid w:val="007846E2"/>
    <w:rsid w:val="007925FF"/>
    <w:rsid w:val="007B41BF"/>
    <w:rsid w:val="007C4818"/>
    <w:rsid w:val="007C5DD5"/>
    <w:rsid w:val="007C7F59"/>
    <w:rsid w:val="007D5D39"/>
    <w:rsid w:val="007D793C"/>
    <w:rsid w:val="007D7954"/>
    <w:rsid w:val="007E74E5"/>
    <w:rsid w:val="007E777B"/>
    <w:rsid w:val="00800B8A"/>
    <w:rsid w:val="008028B2"/>
    <w:rsid w:val="00811F27"/>
    <w:rsid w:val="00822217"/>
    <w:rsid w:val="00836FE3"/>
    <w:rsid w:val="0084089E"/>
    <w:rsid w:val="00847A0A"/>
    <w:rsid w:val="00863A06"/>
    <w:rsid w:val="00864A07"/>
    <w:rsid w:val="00872070"/>
    <w:rsid w:val="008761F7"/>
    <w:rsid w:val="008775AC"/>
    <w:rsid w:val="00881846"/>
    <w:rsid w:val="00897837"/>
    <w:rsid w:val="008A134E"/>
    <w:rsid w:val="008B5F71"/>
    <w:rsid w:val="008D56C0"/>
    <w:rsid w:val="008E41EC"/>
    <w:rsid w:val="008F3001"/>
    <w:rsid w:val="008F425F"/>
    <w:rsid w:val="008F535F"/>
    <w:rsid w:val="008F6653"/>
    <w:rsid w:val="008F7FE4"/>
    <w:rsid w:val="00906201"/>
    <w:rsid w:val="009076F9"/>
    <w:rsid w:val="0091583A"/>
    <w:rsid w:val="00930DF8"/>
    <w:rsid w:val="00942466"/>
    <w:rsid w:val="0095531D"/>
    <w:rsid w:val="009570CB"/>
    <w:rsid w:val="009618B4"/>
    <w:rsid w:val="009668ED"/>
    <w:rsid w:val="00981DA1"/>
    <w:rsid w:val="00983E64"/>
    <w:rsid w:val="00990A02"/>
    <w:rsid w:val="00990D6C"/>
    <w:rsid w:val="00991EA7"/>
    <w:rsid w:val="00996557"/>
    <w:rsid w:val="009B1C63"/>
    <w:rsid w:val="009B3DB4"/>
    <w:rsid w:val="009C72E0"/>
    <w:rsid w:val="009D0807"/>
    <w:rsid w:val="00A12DE4"/>
    <w:rsid w:val="00A14F12"/>
    <w:rsid w:val="00A3300B"/>
    <w:rsid w:val="00A44866"/>
    <w:rsid w:val="00A44E53"/>
    <w:rsid w:val="00A530B4"/>
    <w:rsid w:val="00A57F69"/>
    <w:rsid w:val="00A63965"/>
    <w:rsid w:val="00A9145A"/>
    <w:rsid w:val="00A91C4C"/>
    <w:rsid w:val="00AC0CEF"/>
    <w:rsid w:val="00AC6FB5"/>
    <w:rsid w:val="00AF14AD"/>
    <w:rsid w:val="00AF2DD2"/>
    <w:rsid w:val="00AF389D"/>
    <w:rsid w:val="00AF7C07"/>
    <w:rsid w:val="00B01F2C"/>
    <w:rsid w:val="00B27367"/>
    <w:rsid w:val="00B3514B"/>
    <w:rsid w:val="00B35288"/>
    <w:rsid w:val="00B370C6"/>
    <w:rsid w:val="00B3718F"/>
    <w:rsid w:val="00B37A57"/>
    <w:rsid w:val="00B37E62"/>
    <w:rsid w:val="00B740FD"/>
    <w:rsid w:val="00B74850"/>
    <w:rsid w:val="00B7739F"/>
    <w:rsid w:val="00B87C9B"/>
    <w:rsid w:val="00B91D0A"/>
    <w:rsid w:val="00B94A59"/>
    <w:rsid w:val="00BA6BEB"/>
    <w:rsid w:val="00BB005F"/>
    <w:rsid w:val="00BB5682"/>
    <w:rsid w:val="00BD0681"/>
    <w:rsid w:val="00BD0D78"/>
    <w:rsid w:val="00BD41EB"/>
    <w:rsid w:val="00BD4DB9"/>
    <w:rsid w:val="00BE3C2D"/>
    <w:rsid w:val="00BF2FDF"/>
    <w:rsid w:val="00BF5A03"/>
    <w:rsid w:val="00C139A7"/>
    <w:rsid w:val="00C21D0D"/>
    <w:rsid w:val="00C24976"/>
    <w:rsid w:val="00C253ED"/>
    <w:rsid w:val="00C62955"/>
    <w:rsid w:val="00C62A35"/>
    <w:rsid w:val="00C654C4"/>
    <w:rsid w:val="00C65A28"/>
    <w:rsid w:val="00C67219"/>
    <w:rsid w:val="00C7143D"/>
    <w:rsid w:val="00C91079"/>
    <w:rsid w:val="00CB0AC5"/>
    <w:rsid w:val="00CB3765"/>
    <w:rsid w:val="00CB6836"/>
    <w:rsid w:val="00CB7422"/>
    <w:rsid w:val="00CC2891"/>
    <w:rsid w:val="00CC5842"/>
    <w:rsid w:val="00CE3216"/>
    <w:rsid w:val="00CF295A"/>
    <w:rsid w:val="00CF34E4"/>
    <w:rsid w:val="00CF64E2"/>
    <w:rsid w:val="00D02F06"/>
    <w:rsid w:val="00D12D9A"/>
    <w:rsid w:val="00D147D4"/>
    <w:rsid w:val="00D20A71"/>
    <w:rsid w:val="00D37F60"/>
    <w:rsid w:val="00D600D9"/>
    <w:rsid w:val="00D61193"/>
    <w:rsid w:val="00D702AF"/>
    <w:rsid w:val="00D741DD"/>
    <w:rsid w:val="00D833E4"/>
    <w:rsid w:val="00D9301F"/>
    <w:rsid w:val="00DC3D43"/>
    <w:rsid w:val="00DE4BFE"/>
    <w:rsid w:val="00DE654A"/>
    <w:rsid w:val="00E219EB"/>
    <w:rsid w:val="00E26E29"/>
    <w:rsid w:val="00E40563"/>
    <w:rsid w:val="00E46F5B"/>
    <w:rsid w:val="00E47483"/>
    <w:rsid w:val="00E5742D"/>
    <w:rsid w:val="00E62270"/>
    <w:rsid w:val="00E647DE"/>
    <w:rsid w:val="00E9207A"/>
    <w:rsid w:val="00EA7CCC"/>
    <w:rsid w:val="00ED3298"/>
    <w:rsid w:val="00EF313F"/>
    <w:rsid w:val="00EF3DDA"/>
    <w:rsid w:val="00F01075"/>
    <w:rsid w:val="00F01F10"/>
    <w:rsid w:val="00F13009"/>
    <w:rsid w:val="00F34BF2"/>
    <w:rsid w:val="00F352CD"/>
    <w:rsid w:val="00F404C1"/>
    <w:rsid w:val="00F54014"/>
    <w:rsid w:val="00F57D5E"/>
    <w:rsid w:val="00F60D2E"/>
    <w:rsid w:val="00F62BCC"/>
    <w:rsid w:val="00F632D4"/>
    <w:rsid w:val="00FA22FF"/>
    <w:rsid w:val="00FB02F5"/>
    <w:rsid w:val="00FB5156"/>
    <w:rsid w:val="00FC5E21"/>
    <w:rsid w:val="00FF0D8D"/>
    <w:rsid w:val="00FF133A"/>
    <w:rsid w:val="00FF60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7889"/>
    <o:shapelayout v:ext="edit">
      <o:idmap v:ext="edit" data="1"/>
    </o:shapelayout>
  </w:shapeDefaults>
  <w:decimalSymbol w:val="."/>
  <w:listSeparator w:val=","/>
  <w14:docId w14:val="5336F95C"/>
  <w15:docId w15:val="{9D9E37F3-9011-4DD9-B494-82CFC0AF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5">
    <w:lsdException w:name="Normal" w:uiPriority="2"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
    <w:qFormat/>
    <w:rsid w:val="0059638A"/>
    <w:pPr>
      <w:spacing w:after="170"/>
    </w:pPr>
    <w:rPr>
      <w:rFonts w:ascii="Arial" w:hAnsi="Arial"/>
      <w:sz w:val="24"/>
      <w:szCs w:val="22"/>
    </w:rPr>
  </w:style>
  <w:style w:type="paragraph" w:styleId="Heading1">
    <w:name w:val="heading 1"/>
    <w:basedOn w:val="Normal"/>
    <w:next w:val="Normal"/>
    <w:link w:val="Heading1Char"/>
    <w:uiPriority w:val="9"/>
    <w:qFormat/>
    <w:rsid w:val="00CB3765"/>
    <w:pPr>
      <w:keepNext/>
      <w:keepLines/>
      <w:spacing w:after="120"/>
      <w:outlineLvl w:val="0"/>
    </w:pPr>
    <w:rPr>
      <w:rFonts w:eastAsia="Times New Roman"/>
      <w:b/>
      <w:bCs/>
      <w:color w:val="095489" w:themeColor="accent1"/>
      <w:sz w:val="30"/>
      <w:szCs w:val="28"/>
    </w:rPr>
  </w:style>
  <w:style w:type="paragraph" w:styleId="Heading2">
    <w:name w:val="heading 2"/>
    <w:basedOn w:val="Normal"/>
    <w:next w:val="Normal"/>
    <w:link w:val="Heading2Char"/>
    <w:uiPriority w:val="9"/>
    <w:qFormat/>
    <w:rsid w:val="00CB3765"/>
    <w:pPr>
      <w:keepNext/>
      <w:keepLines/>
      <w:spacing w:before="240" w:after="60"/>
      <w:outlineLvl w:val="1"/>
    </w:pPr>
    <w:rPr>
      <w:rFonts w:eastAsia="Times New Roman"/>
      <w:b/>
      <w:bCs/>
      <w:color w:val="095489" w:themeColor="accent1"/>
      <w:sz w:val="26"/>
      <w:szCs w:val="26"/>
    </w:rPr>
  </w:style>
  <w:style w:type="paragraph" w:styleId="Heading3">
    <w:name w:val="heading 3"/>
    <w:basedOn w:val="Normal"/>
    <w:next w:val="Normal"/>
    <w:link w:val="Heading3Char"/>
    <w:uiPriority w:val="9"/>
    <w:qFormat/>
    <w:rsid w:val="00CB3765"/>
    <w:pPr>
      <w:keepNext/>
      <w:keepLines/>
      <w:spacing w:before="240" w:after="60"/>
      <w:outlineLvl w:val="2"/>
    </w:pPr>
    <w:rPr>
      <w:rFonts w:eastAsia="Times New Roman"/>
      <w:b/>
      <w:bCs/>
      <w:color w:val="095489" w:themeColor="accent1"/>
    </w:rPr>
  </w:style>
  <w:style w:type="paragraph" w:styleId="Heading4">
    <w:name w:val="heading 4"/>
    <w:basedOn w:val="Normal"/>
    <w:next w:val="Normal"/>
    <w:link w:val="Heading4Char"/>
    <w:uiPriority w:val="9"/>
    <w:qFormat/>
    <w:rsid w:val="00C65A28"/>
    <w:pPr>
      <w:keepNext/>
      <w:keepLines/>
      <w:spacing w:before="240" w:after="60"/>
      <w:outlineLvl w:val="3"/>
    </w:pPr>
    <w:rPr>
      <w:rFonts w:eastAsia="Times New Roman"/>
      <w:b/>
      <w:bCs/>
      <w:iCs/>
      <w:color w:val="464E56"/>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imes New Roman"/>
      <w:color w:val="000000"/>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imes New Roman"/>
      <w:i/>
      <w:iCs/>
      <w:color w:val="000000"/>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imes New Roman"/>
      <w:i/>
      <w:iCs/>
      <w:color w:val="000000"/>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imes New Roman"/>
      <w:color w:val="000000"/>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imes New Roman"/>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A91C4C"/>
    <w:rPr>
      <w:rFonts w:ascii="Arial" w:eastAsia="Times New Roman" w:hAnsi="Arial" w:cs="Times New Roman"/>
      <w:color w:val="000000"/>
      <w:sz w:val="24"/>
    </w:rPr>
  </w:style>
  <w:style w:type="paragraph" w:customStyle="1" w:styleId="Headlines">
    <w:name w:val="Headlines"/>
    <w:basedOn w:val="Normal"/>
    <w:next w:val="Heading1"/>
    <w:qFormat/>
    <w:rsid w:val="00CB3765"/>
    <w:pPr>
      <w:spacing w:before="240" w:after="660"/>
      <w:ind w:left="1134"/>
    </w:pPr>
    <w:rPr>
      <w:color w:val="095489" w:themeColor="accent1"/>
      <w:sz w:val="72"/>
    </w:rPr>
  </w:style>
  <w:style w:type="paragraph" w:customStyle="1" w:styleId="Subheadlines">
    <w:name w:val="Sub headlines"/>
    <w:basedOn w:val="Normal"/>
    <w:next w:val="Normal"/>
    <w:rsid w:val="00A9145A"/>
    <w:rPr>
      <w:b/>
      <w:color w:val="464E56"/>
      <w:sz w:val="32"/>
    </w:rPr>
  </w:style>
  <w:style w:type="paragraph" w:styleId="ListParagraph">
    <w:name w:val="List Paragraph"/>
    <w:basedOn w:val="Normal"/>
    <w:uiPriority w:val="34"/>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link w:val="Heading1"/>
    <w:uiPriority w:val="9"/>
    <w:rsid w:val="00CB3765"/>
    <w:rPr>
      <w:rFonts w:ascii="Arial" w:eastAsia="Times New Roman" w:hAnsi="Arial"/>
      <w:b/>
      <w:bCs/>
      <w:color w:val="095489" w:themeColor="accent1"/>
      <w:sz w:val="30"/>
      <w:szCs w:val="28"/>
      <w:lang w:eastAsia="en-US"/>
    </w:rPr>
  </w:style>
  <w:style w:type="character" w:customStyle="1" w:styleId="Heading2Char">
    <w:name w:val="Heading 2 Char"/>
    <w:link w:val="Heading2"/>
    <w:uiPriority w:val="9"/>
    <w:rsid w:val="00CB3765"/>
    <w:rPr>
      <w:rFonts w:ascii="Arial" w:eastAsia="Times New Roman" w:hAnsi="Arial"/>
      <w:b/>
      <w:bCs/>
      <w:color w:val="095489" w:themeColor="accent1"/>
      <w:sz w:val="26"/>
      <w:szCs w:val="26"/>
      <w:lang w:eastAsia="en-US"/>
    </w:rPr>
  </w:style>
  <w:style w:type="character" w:customStyle="1" w:styleId="Heading3Char">
    <w:name w:val="Heading 3 Char"/>
    <w:link w:val="Heading3"/>
    <w:uiPriority w:val="9"/>
    <w:rsid w:val="00CB3765"/>
    <w:rPr>
      <w:rFonts w:ascii="Arial" w:eastAsia="Times New Roman" w:hAnsi="Arial"/>
      <w:b/>
      <w:bCs/>
      <w:color w:val="095489" w:themeColor="accent1"/>
      <w:sz w:val="24"/>
      <w:szCs w:val="22"/>
      <w:lang w:eastAsia="en-US"/>
    </w:rPr>
  </w:style>
  <w:style w:type="character" w:customStyle="1" w:styleId="Heading4Char">
    <w:name w:val="Heading 4 Char"/>
    <w:link w:val="Heading4"/>
    <w:uiPriority w:val="9"/>
    <w:rsid w:val="00C65A28"/>
    <w:rPr>
      <w:rFonts w:ascii="Arial" w:eastAsia="Times New Roman" w:hAnsi="Arial"/>
      <w:b/>
      <w:bCs/>
      <w:iCs/>
      <w:color w:val="464E56"/>
      <w:sz w:val="24"/>
      <w:szCs w:val="22"/>
      <w:lang w:val="en-AU"/>
    </w:rPr>
  </w:style>
  <w:style w:type="paragraph" w:styleId="TOCHeading">
    <w:name w:val="TOC Heading"/>
    <w:basedOn w:val="Heading1"/>
    <w:next w:val="Normal"/>
    <w:uiPriority w:val="39"/>
    <w:unhideWhenUsed/>
    <w:qFormat/>
    <w:rsid w:val="00CB3765"/>
    <w:pPr>
      <w:spacing w:before="60" w:line="360" w:lineRule="auto"/>
      <w:outlineLvl w:val="9"/>
    </w:pPr>
    <w:rPr>
      <w:rFonts w:cs="Arial"/>
      <w:lang w:eastAsia="ja-JP"/>
    </w:rPr>
  </w:style>
  <w:style w:type="paragraph" w:styleId="TOC1">
    <w:name w:val="toc 1"/>
    <w:basedOn w:val="Normal"/>
    <w:next w:val="Normal"/>
    <w:autoRedefine/>
    <w:uiPriority w:val="39"/>
    <w:qFormat/>
    <w:rsid w:val="0064686E"/>
    <w:pPr>
      <w:tabs>
        <w:tab w:val="right" w:pos="9923"/>
      </w:tabs>
      <w:spacing w:after="100"/>
    </w:pPr>
    <w:rPr>
      <w:noProof/>
    </w:rPr>
  </w:style>
  <w:style w:type="paragraph" w:styleId="TOC2">
    <w:name w:val="toc 2"/>
    <w:basedOn w:val="Normal"/>
    <w:next w:val="Normal"/>
    <w:autoRedefine/>
    <w:uiPriority w:val="39"/>
    <w:qFormat/>
    <w:rsid w:val="0064686E"/>
    <w:pPr>
      <w:tabs>
        <w:tab w:val="right" w:pos="9923"/>
      </w:tabs>
      <w:spacing w:after="100"/>
      <w:ind w:left="240"/>
    </w:pPr>
  </w:style>
  <w:style w:type="paragraph" w:styleId="TOC3">
    <w:name w:val="toc 3"/>
    <w:basedOn w:val="Normal"/>
    <w:next w:val="Normal"/>
    <w:autoRedefine/>
    <w:uiPriority w:val="39"/>
    <w:qFormat/>
    <w:rsid w:val="0064686E"/>
    <w:pPr>
      <w:tabs>
        <w:tab w:val="right" w:pos="9923"/>
      </w:tabs>
      <w:spacing w:after="100"/>
      <w:ind w:left="480"/>
    </w:pPr>
  </w:style>
  <w:style w:type="character" w:styleId="Hyperlink">
    <w:name w:val="Hyperlink"/>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link w:val="BalloonText"/>
    <w:uiPriority w:val="99"/>
    <w:semiHidden/>
    <w:rsid w:val="00981DA1"/>
    <w:rPr>
      <w:rFonts w:ascii="Tahoma" w:hAnsi="Tahoma" w:cs="Tahoma"/>
      <w:sz w:val="16"/>
      <w:szCs w:val="16"/>
    </w:rPr>
  </w:style>
  <w:style w:type="character" w:customStyle="1" w:styleId="Heading6Char">
    <w:name w:val="Heading 6 Char"/>
    <w:link w:val="Heading6"/>
    <w:uiPriority w:val="9"/>
    <w:semiHidden/>
    <w:rsid w:val="00A91C4C"/>
    <w:rPr>
      <w:rFonts w:ascii="Arial" w:eastAsia="Times New Roman" w:hAnsi="Arial" w:cs="Times New Roman"/>
      <w:i/>
      <w:iCs/>
      <w:color w:val="000000"/>
      <w:sz w:val="24"/>
    </w:rPr>
  </w:style>
  <w:style w:type="character" w:customStyle="1" w:styleId="Heading7Char">
    <w:name w:val="Heading 7 Char"/>
    <w:link w:val="Heading7"/>
    <w:uiPriority w:val="9"/>
    <w:semiHidden/>
    <w:rsid w:val="00A91C4C"/>
    <w:rPr>
      <w:rFonts w:ascii="Arial" w:eastAsia="Times New Roman" w:hAnsi="Arial" w:cs="Times New Roman"/>
      <w:i/>
      <w:iCs/>
      <w:color w:val="000000"/>
      <w:sz w:val="24"/>
    </w:rPr>
  </w:style>
  <w:style w:type="character" w:customStyle="1" w:styleId="Heading8Char">
    <w:name w:val="Heading 8 Char"/>
    <w:link w:val="Heading8"/>
    <w:uiPriority w:val="9"/>
    <w:semiHidden/>
    <w:rsid w:val="00A91C4C"/>
    <w:rPr>
      <w:rFonts w:ascii="Arial" w:eastAsia="Times New Roman" w:hAnsi="Arial" w:cs="Times New Roman"/>
      <w:color w:val="000000"/>
      <w:sz w:val="24"/>
      <w:szCs w:val="20"/>
    </w:rPr>
  </w:style>
  <w:style w:type="character" w:customStyle="1" w:styleId="Heading9Char">
    <w:name w:val="Heading 9 Char"/>
    <w:link w:val="Heading9"/>
    <w:uiPriority w:val="9"/>
    <w:semiHidden/>
    <w:rsid w:val="00A91C4C"/>
    <w:rPr>
      <w:rFonts w:ascii="Arial" w:eastAsia="Times New Roman" w:hAnsi="Arial" w:cs="Times New Roman"/>
      <w:i/>
      <w:iCs/>
      <w:color w:val="000000"/>
      <w:sz w:val="24"/>
      <w:szCs w:val="20"/>
    </w:rPr>
  </w:style>
  <w:style w:type="table" w:styleId="TableGrid">
    <w:name w:val="Table Grid"/>
    <w:basedOn w:val="TableNormal"/>
    <w:uiPriority w:val="59"/>
    <w:rsid w:val="001F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sz w:val="24"/>
      <w:lang w:eastAsia="en-AU"/>
    </w:rPr>
    <w:tblPr/>
    <w:tblStylePr w:type="firstRow">
      <w:pPr>
        <w:spacing w:before="0" w:after="0" w:line="240" w:lineRule="auto"/>
      </w:pPr>
      <w:rPr>
        <w:b/>
        <w:bCs/>
      </w:rPr>
      <w:tblPr/>
      <w:trPr>
        <w:tblHeader/>
      </w:tr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B1BCD8"/>
      </w:tcPr>
    </w:tblStylePr>
  </w:style>
  <w:style w:type="table" w:styleId="LightList-Accent1">
    <w:name w:val="Light List Accent 1"/>
    <w:basedOn w:val="TableNormal"/>
    <w:uiPriority w:val="61"/>
    <w:rsid w:val="001F68E9"/>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pPr>
        <w:spacing w:before="0" w:after="0" w:line="240" w:lineRule="auto"/>
      </w:pPr>
      <w:rPr>
        <w:b/>
        <w:bCs/>
        <w:color w:val="FFFFFF"/>
      </w:rPr>
      <w:tbl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styleId="LightShading-Accent1">
    <w:name w:val="Light Shading Accent 1"/>
    <w:basedOn w:val="TableNormal"/>
    <w:uiPriority w:val="60"/>
    <w:rsid w:val="001F68E9"/>
    <w:rPr>
      <w:color w:val="003769"/>
    </w:rPr>
    <w:tblPr>
      <w:tblStyleRowBandSize w:val="1"/>
      <w:tblStyleColBandSize w:val="1"/>
      <w:tblBorders>
        <w:top w:val="single" w:sz="8" w:space="0" w:color="004B8D"/>
        <w:bottom w:val="single" w:sz="8" w:space="0" w:color="004B8D"/>
      </w:tblBorders>
    </w:tblPr>
    <w:tblStylePr w:type="fir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A3D4F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rPr>
      <w:tblPr/>
      <w:trPr>
        <w:tblHeader/>
      </w:tr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styleId="LightGrid-Accent1">
    <w:name w:val="Light Grid Accent 1"/>
    <w:basedOn w:val="TableNormal"/>
    <w:uiPriority w:val="62"/>
    <w:rsid w:val="001F68E9"/>
    <w:tblPr>
      <w:tblStyleRowBandSize w:val="1"/>
      <w:tblStyleColBandSize w:val="1"/>
      <w:tblBorders>
        <w:top w:val="single" w:sz="8" w:space="0" w:color="004B8D"/>
        <w:left w:val="single" w:sz="8" w:space="0" w:color="004B8D"/>
        <w:bottom w:val="single" w:sz="8" w:space="0" w:color="004B8D"/>
        <w:right w:val="single" w:sz="8" w:space="0" w:color="004B8D"/>
        <w:insideH w:val="single" w:sz="8" w:space="0" w:color="004B8D"/>
        <w:insideV w:val="single" w:sz="8" w:space="0" w:color="004B8D"/>
      </w:tblBorders>
    </w:tblPr>
    <w:tblStylePr w:type="firstRow">
      <w:pPr>
        <w:spacing w:before="0" w:after="0" w:line="240" w:lineRule="auto"/>
      </w:pPr>
      <w:rPr>
        <w:rFonts w:ascii="Cambria Math" w:eastAsia="Times New Roman" w:hAnsi="Cambria Math" w:cs="Times New Roman"/>
        <w:b/>
        <w:bCs/>
      </w:rPr>
      <w:tbl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A3D4FF"/>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Cambria Math" w:eastAsia="Times New Roman" w:hAnsi="Cambria Math" w:cs="Times New Roman"/>
        <w:b/>
        <w:bCs/>
      </w:rPr>
      <w:tblPr/>
      <w:trPr>
        <w:tblHeader/>
      </w:tr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B1BCD8"/>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styleId="MediumShading1-Accent1">
    <w:name w:val="Medium Shading 1 Accent 1"/>
    <w:basedOn w:val="TableNormal"/>
    <w:uiPriority w:val="63"/>
    <w:rsid w:val="001F68E9"/>
    <w:tblPr>
      <w:tblStyleRowBandSize w:val="1"/>
      <w:tblStyleColBandSize w:val="1"/>
      <w:tblBorders>
        <w:top w:val="single" w:sz="8" w:space="0" w:color="007BE9"/>
        <w:left w:val="single" w:sz="8" w:space="0" w:color="007BE9"/>
        <w:bottom w:val="single" w:sz="8" w:space="0" w:color="007BE9"/>
        <w:right w:val="single" w:sz="8" w:space="0" w:color="007BE9"/>
        <w:insideH w:val="single" w:sz="8" w:space="0" w:color="007BE9"/>
      </w:tblBorders>
    </w:tblPr>
    <w:tblStylePr w:type="firstRow">
      <w:pPr>
        <w:spacing w:before="0" w:after="0" w:line="240" w:lineRule="auto"/>
      </w:pPr>
      <w:rPr>
        <w:b/>
        <w:bCs/>
        <w:color w:val="FFFFFF"/>
      </w:rPr>
      <w:tbl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A3D4F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rPr>
      <w:tblPr/>
      <w:trPr>
        <w:tblHeader/>
      </w:tr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FFFFFF"/>
      </w:tcPr>
    </w:tblStylePr>
    <w:tblStylePr w:type="band2Horz">
      <w:tblPr/>
      <w:tcPr>
        <w:tcBorders>
          <w:insideH w:val="nil"/>
          <w:insideV w:val="nil"/>
        </w:tcBorders>
        <w:shd w:val="clear" w:color="auto" w:fill="B1BCD8"/>
      </w:tcPr>
    </w:tblStylePr>
  </w:style>
  <w:style w:type="table" w:styleId="MediumList1-Accent1">
    <w:name w:val="Medium List 1 Accent 1"/>
    <w:basedOn w:val="TableNormal"/>
    <w:uiPriority w:val="65"/>
    <w:rsid w:val="001F68E9"/>
    <w:rPr>
      <w:color w:val="000000"/>
    </w:rPr>
    <w:tblPr>
      <w:tblStyleRowBandSize w:val="1"/>
      <w:tblStyleColBandSize w:val="1"/>
      <w:tblBorders>
        <w:top w:val="single" w:sz="8" w:space="0" w:color="004B8D"/>
        <w:bottom w:val="single" w:sz="8" w:space="0" w:color="004B8D"/>
      </w:tblBorders>
    </w:tblPr>
    <w:tblStylePr w:type="firstRow">
      <w:rPr>
        <w:rFonts w:ascii="Cambria Math" w:eastAsia="Times New Roman" w:hAnsi="Cambria Math" w:cs="Times New Roman"/>
      </w:rPr>
      <w:tbl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A3D4F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Cambria Math" w:eastAsia="Times New Roman" w:hAnsi="Cambria Math" w:cs="Times New Roman"/>
      </w:rPr>
      <w:tblPr/>
      <w:trPr>
        <w:tblHeader/>
      </w:tr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B1BCD8"/>
      </w:tcPr>
    </w:tblStylePr>
  </w:style>
  <w:style w:type="table" w:customStyle="1" w:styleId="WAHealthTable7">
    <w:name w:val="WA Health Table 7"/>
    <w:basedOn w:val="LightList"/>
    <w:uiPriority w:val="99"/>
    <w:rsid w:val="00930DF8"/>
    <w:rPr>
      <w:rFonts w:ascii="Arial" w:hAnsi="Arial"/>
      <w:sz w:val="24"/>
      <w:lang w:eastAsia="en-AU"/>
    </w:rPr>
    <w:tblPr/>
    <w:tblStylePr w:type="firstRow">
      <w:pPr>
        <w:spacing w:before="0" w:after="0" w:line="240" w:lineRule="auto"/>
      </w:pPr>
      <w:rPr>
        <w:b/>
        <w:bCs/>
        <w:color w:val="000000"/>
      </w:rPr>
      <w:tblPr/>
      <w:trPr>
        <w:tblHeader/>
      </w:trPr>
      <w:tcPr>
        <w:shd w:val="clear" w:color="auto" w:fill="FFFFF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WAHealthTable3">
    <w:name w:val="WA Health Table 3"/>
    <w:basedOn w:val="MediumList2-Accent1"/>
    <w:uiPriority w:val="99"/>
    <w:rsid w:val="00930DF8"/>
    <w:rPr>
      <w:rFonts w:ascii="Arial" w:hAnsi="Arial"/>
      <w:sz w:val="24"/>
      <w:lang w:eastAsia="en-AU"/>
    </w:rPr>
    <w:tblPr/>
    <w:tblStylePr w:type="firstRow">
      <w:rPr>
        <w:sz w:val="24"/>
        <w:szCs w:val="24"/>
      </w:rPr>
      <w:tblPr/>
      <w:trPr>
        <w:tblHeader/>
      </w:tr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B1BCD8"/>
      </w:tcPr>
    </w:tblStylePr>
    <w:tblStylePr w:type="nwCell">
      <w:tblPr/>
      <w:tcPr>
        <w:shd w:val="clear" w:color="auto" w:fill="FFFFFF"/>
      </w:tcPr>
    </w:tblStylePr>
    <w:tblStylePr w:type="swCell">
      <w:tblPr/>
      <w:tcPr>
        <w:tcBorders>
          <w:top w:val="nil"/>
        </w:tcBorders>
      </w:tcPr>
    </w:tblStylePr>
  </w:style>
  <w:style w:type="table" w:styleId="LightList">
    <w:name w:val="Light List"/>
    <w:basedOn w:val="TableNormal"/>
    <w:uiPriority w:val="61"/>
    <w:rsid w:val="00E4056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E40563"/>
    <w:rPr>
      <w:rFonts w:ascii="Cambria" w:eastAsia="Times New Roman" w:hAnsi="Cambria"/>
      <w:color w:val="000000"/>
    </w:rPr>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rPr>
        <w:sz w:val="24"/>
        <w:szCs w:val="24"/>
      </w:rPr>
      <w:tbl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A3D4FF"/>
      </w:tcPr>
    </w:tblStylePr>
    <w:tblStylePr w:type="nwCell">
      <w:tblPr/>
      <w:tcPr>
        <w:shd w:val="clear" w:color="auto" w:fill="FFFFFF"/>
      </w:tcPr>
    </w:tblStylePr>
    <w:tblStylePr w:type="swCell">
      <w:tblPr/>
      <w:tcPr>
        <w:tcBorders>
          <w:top w:val="nil"/>
        </w:tcBorders>
      </w:tcPr>
    </w:tblStylePr>
  </w:style>
  <w:style w:type="paragraph" w:styleId="Header">
    <w:name w:val="header"/>
    <w:basedOn w:val="Normal"/>
    <w:link w:val="HeaderChar"/>
    <w:uiPriority w:val="99"/>
    <w:semiHidden/>
    <w:rsid w:val="00743BE0"/>
    <w:pPr>
      <w:tabs>
        <w:tab w:val="center" w:pos="4513"/>
        <w:tab w:val="right" w:pos="9026"/>
      </w:tabs>
      <w:spacing w:after="0"/>
    </w:pPr>
  </w:style>
  <w:style w:type="character" w:customStyle="1" w:styleId="HeaderChar">
    <w:name w:val="Header Char"/>
    <w:link w:val="Header"/>
    <w:uiPriority w:val="99"/>
    <w:semiHidden/>
    <w:rsid w:val="00743BE0"/>
    <w:rPr>
      <w:rFonts w:ascii="Arial" w:hAnsi="Arial"/>
      <w:sz w:val="24"/>
    </w:rPr>
  </w:style>
  <w:style w:type="paragraph" w:styleId="Footer">
    <w:name w:val="footer"/>
    <w:basedOn w:val="Normal"/>
    <w:link w:val="FooterChar"/>
    <w:uiPriority w:val="99"/>
    <w:rsid w:val="00E62270"/>
    <w:pPr>
      <w:tabs>
        <w:tab w:val="center" w:pos="4513"/>
        <w:tab w:val="right" w:pos="9026"/>
      </w:tabs>
      <w:spacing w:after="0"/>
      <w:ind w:right="227"/>
      <w:jc w:val="right"/>
    </w:pPr>
    <w:rPr>
      <w:b/>
      <w:color w:val="000000"/>
    </w:rPr>
  </w:style>
  <w:style w:type="character" w:customStyle="1" w:styleId="FooterChar">
    <w:name w:val="Footer Char"/>
    <w:link w:val="Footer"/>
    <w:uiPriority w:val="99"/>
    <w:rsid w:val="00E62270"/>
    <w:rPr>
      <w:rFonts w:ascii="Arial" w:hAnsi="Arial"/>
      <w:b/>
      <w:color w:val="000000"/>
      <w:sz w:val="24"/>
    </w:rPr>
  </w:style>
  <w:style w:type="paragraph" w:customStyle="1" w:styleId="Subtitle1">
    <w:name w:val="Subtitle 1"/>
    <w:basedOn w:val="Subheadlines"/>
    <w:uiPriority w:val="2"/>
    <w:rsid w:val="00A9145A"/>
    <w:rPr>
      <w:color w:val="005B38"/>
      <w:sz w:val="40"/>
      <w:szCs w:val="40"/>
    </w:rPr>
  </w:style>
  <w:style w:type="paragraph" w:customStyle="1" w:styleId="TEXT">
    <w:name w:val="TEXT"/>
    <w:basedOn w:val="Normal"/>
    <w:uiPriority w:val="99"/>
    <w:rsid w:val="0000010A"/>
    <w:pPr>
      <w:widowControl w:val="0"/>
      <w:suppressAutoHyphens/>
      <w:autoSpaceDE w:val="0"/>
      <w:autoSpaceDN w:val="0"/>
      <w:adjustRightInd w:val="0"/>
      <w:spacing w:after="113" w:line="280" w:lineRule="atLeast"/>
      <w:textAlignment w:val="center"/>
    </w:pPr>
    <w:rPr>
      <w:rFonts w:ascii="ArialMTStd" w:hAnsi="ArialMTStd" w:cs="ArialMTStd"/>
      <w:color w:val="000000"/>
      <w:szCs w:val="24"/>
      <w:lang w:val="en-GB"/>
    </w:rPr>
  </w:style>
  <w:style w:type="character" w:styleId="FollowedHyperlink">
    <w:name w:val="FollowedHyperlink"/>
    <w:uiPriority w:val="99"/>
    <w:semiHidden/>
    <w:rsid w:val="007846E2"/>
    <w:rPr>
      <w:color w:val="095489"/>
      <w:u w:val="single"/>
    </w:rPr>
  </w:style>
  <w:style w:type="paragraph" w:styleId="Caption">
    <w:name w:val="caption"/>
    <w:basedOn w:val="Normal"/>
    <w:next w:val="Normal"/>
    <w:uiPriority w:val="35"/>
    <w:semiHidden/>
    <w:qFormat/>
    <w:rsid w:val="000621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image" Target="media/image27.emf"/><Relationship Id="rId21" Type="http://schemas.openxmlformats.org/officeDocument/2006/relationships/image" Target="media/image9.emf"/><Relationship Id="rId34" Type="http://schemas.openxmlformats.org/officeDocument/2006/relationships/image" Target="media/image22.emf"/><Relationship Id="rId42" Type="http://schemas.openxmlformats.org/officeDocument/2006/relationships/image" Target="media/image30.emf"/><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image" Target="media/image28.emf"/><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4.emf"/><Relationship Id="rId10" Type="http://schemas.openxmlformats.org/officeDocument/2006/relationships/endnotes" Target="endnotes.xml"/><Relationship Id="rId19" Type="http://schemas.openxmlformats.org/officeDocument/2006/relationships/image" Target="media/image7.emf"/><Relationship Id="rId31" Type="http://schemas.openxmlformats.org/officeDocument/2006/relationships/image" Target="media/image19.emf"/><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header" Target="header2.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0.jpg"/><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image" Target="media/image26.emf"/><Relationship Id="rId46" Type="http://schemas.openxmlformats.org/officeDocument/2006/relationships/footer" Target="footer3.xml"/><Relationship Id="rId20" Type="http://schemas.openxmlformats.org/officeDocument/2006/relationships/image" Target="media/image8.emf"/><Relationship Id="rId41" Type="http://schemas.openxmlformats.org/officeDocument/2006/relationships/image" Target="media/image29.e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Blue PMS 2945 2014">
      <a:dk1>
        <a:sysClr val="windowText" lastClr="000000"/>
      </a:dk1>
      <a:lt1>
        <a:sysClr val="window" lastClr="FFFFFF"/>
      </a:lt1>
      <a:dk2>
        <a:srgbClr val="757477"/>
      </a:dk2>
      <a:lt2>
        <a:srgbClr val="FFFFFF"/>
      </a:lt2>
      <a:accent1>
        <a:srgbClr val="095489"/>
      </a:accent1>
      <a:accent2>
        <a:srgbClr val="095489"/>
      </a:accent2>
      <a:accent3>
        <a:srgbClr val="095489"/>
      </a:accent3>
      <a:accent4>
        <a:srgbClr val="095489"/>
      </a:accent4>
      <a:accent5>
        <a:srgbClr val="095489"/>
      </a:accent5>
      <a:accent6>
        <a:srgbClr val="095489"/>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9713D42DA9124498940919538033CD" ma:contentTypeVersion="0" ma:contentTypeDescription="Create a new document." ma:contentTypeScope="" ma:versionID="0bb726cb1cbfca58e66945c6b5f59a9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4AD68-2EB2-49BF-8AE8-52F912DE82B4}">
  <ds:schemaRefs>
    <ds:schemaRef ds:uri="http://schemas.microsoft.com/sharepoint/v3/contenttype/forms"/>
  </ds:schemaRefs>
</ds:datastoreItem>
</file>

<file path=customXml/itemProps2.xml><?xml version="1.0" encoding="utf-8"?>
<ds:datastoreItem xmlns:ds="http://schemas.openxmlformats.org/officeDocument/2006/customXml" ds:itemID="{C9147D27-A951-4E27-825D-BBA3CCDD4775}">
  <ds:schemaRef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6BDF3644-66CF-485D-8DB7-EF1F17B15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D84C110-3A67-4B46-99AD-61FDE5F85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28</Pages>
  <Words>4390</Words>
  <Characters>25029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DoH Multi-page Template</vt:lpstr>
    </vt:vector>
  </TitlesOfParts>
  <Company>WA Health</Company>
  <LinksUpToDate>false</LinksUpToDate>
  <CharactersWithSpaces>29361</CharactersWithSpaces>
  <SharedDoc>false</SharedDoc>
  <HyperlinkBase/>
  <HLinks>
    <vt:vector size="24" baseType="variant">
      <vt:variant>
        <vt:i4>4587612</vt:i4>
      </vt:variant>
      <vt:variant>
        <vt:i4>15</vt:i4>
      </vt:variant>
      <vt:variant>
        <vt:i4>0</vt:i4>
      </vt:variant>
      <vt:variant>
        <vt:i4>5</vt:i4>
      </vt:variant>
      <vt:variant>
        <vt:lpwstr>http://www.health.wa.gov.au/</vt:lpwstr>
      </vt:variant>
      <vt:variant>
        <vt:lpwstr/>
      </vt:variant>
      <vt:variant>
        <vt:i4>1114163</vt:i4>
      </vt:variant>
      <vt:variant>
        <vt:i4>8</vt:i4>
      </vt:variant>
      <vt:variant>
        <vt:i4>0</vt:i4>
      </vt:variant>
      <vt:variant>
        <vt:i4>5</vt:i4>
      </vt:variant>
      <vt:variant>
        <vt:lpwstr/>
      </vt:variant>
      <vt:variant>
        <vt:lpwstr>_Toc412470233</vt:lpwstr>
      </vt:variant>
      <vt:variant>
        <vt:i4>1114163</vt:i4>
      </vt:variant>
      <vt:variant>
        <vt:i4>2</vt:i4>
      </vt:variant>
      <vt:variant>
        <vt:i4>0</vt:i4>
      </vt:variant>
      <vt:variant>
        <vt:i4>5</vt:i4>
      </vt:variant>
      <vt:variant>
        <vt:lpwstr/>
      </vt:variant>
      <vt:variant>
        <vt:lpwstr>_Toc412470232</vt:lpwstr>
      </vt:variant>
      <vt:variant>
        <vt:i4>4587612</vt:i4>
      </vt:variant>
      <vt:variant>
        <vt:i4>6380</vt:i4>
      </vt:variant>
      <vt:variant>
        <vt:i4>1025</vt:i4>
      </vt:variant>
      <vt:variant>
        <vt:i4>4</vt:i4>
      </vt:variant>
      <vt:variant>
        <vt:lpwstr>http://www.health.wa.gov.au/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 Multi-page Template</dc:title>
  <dc:subject>Word Template</dc:subject>
  <dc:creator>Deptartment of Health</dc:creator>
  <cp:keywords>template, report, style guide,</cp:keywords>
  <cp:lastModifiedBy>Mitchell, Kellie</cp:lastModifiedBy>
  <cp:revision>8</cp:revision>
  <cp:lastPrinted>2014-03-21T07:23:00Z</cp:lastPrinted>
  <dcterms:created xsi:type="dcterms:W3CDTF">2021-01-08T05:45:00Z</dcterms:created>
  <dcterms:modified xsi:type="dcterms:W3CDTF">2021-02-16T05:15:00Z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0x010100369713D42DA9124498940919538033CD</vt:lpwstr>
  </property>
</Properties>
</file>