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1"/>
        <w:gridCol w:w="2551"/>
        <w:gridCol w:w="2551"/>
        <w:gridCol w:w="2709"/>
      </w:tblGrid>
      <w:tr>
        <w:trPr>
          <w:trHeight w:val="786" w:hRule="atLeast"/>
        </w:trPr>
        <w:tc>
          <w:tcPr>
            <w:tcW w:w="10362" w:type="dxa"/>
            <w:gridSpan w:val="4"/>
            <w:shd w:val="clear" w:color="auto" w:fill="333333"/>
          </w:tcPr>
          <w:p>
            <w:pPr>
              <w:pStyle w:val="TableParagraph"/>
              <w:spacing w:line="386" w:lineRule="exact" w:before="29"/>
              <w:ind w:left="2613" w:right="7" w:hanging="2583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Table</w:t>
            </w:r>
            <w:r>
              <w:rPr>
                <w:b/>
                <w:color w:val="FFFFFF"/>
                <w:spacing w:val="-52"/>
                <w:sz w:val="32"/>
              </w:rPr>
              <w:t> </w:t>
            </w:r>
            <w:r>
              <w:rPr>
                <w:b/>
                <w:color w:val="FFFFFF"/>
                <w:sz w:val="32"/>
              </w:rPr>
              <w:t>2:</w:t>
            </w:r>
            <w:r>
              <w:rPr>
                <w:b/>
                <w:color w:val="FFFFFF"/>
                <w:spacing w:val="-52"/>
                <w:sz w:val="32"/>
              </w:rPr>
              <w:t> </w:t>
            </w:r>
            <w:r>
              <w:rPr>
                <w:b/>
                <w:color w:val="FFFFFF"/>
                <w:sz w:val="32"/>
              </w:rPr>
              <w:t>Post-exposure</w:t>
            </w:r>
            <w:r>
              <w:rPr>
                <w:b/>
                <w:color w:val="FFFFFF"/>
                <w:spacing w:val="-52"/>
                <w:sz w:val="32"/>
              </w:rPr>
              <w:t> </w:t>
            </w:r>
            <w:r>
              <w:rPr>
                <w:b/>
                <w:color w:val="FFFFFF"/>
                <w:sz w:val="32"/>
              </w:rPr>
              <w:t>guidelines</w:t>
            </w:r>
            <w:r>
              <w:rPr>
                <w:b/>
                <w:color w:val="FFFFFF"/>
                <w:spacing w:val="-8"/>
                <w:sz w:val="32"/>
              </w:rPr>
              <w:t> </w:t>
            </w:r>
            <w:r>
              <w:rPr>
                <w:b/>
                <w:color w:val="FFFFFF"/>
                <w:sz w:val="32"/>
              </w:rPr>
              <w:t>–</w:t>
            </w:r>
            <w:r>
              <w:rPr>
                <w:b/>
                <w:color w:val="FFFFFF"/>
                <w:spacing w:val="-52"/>
                <w:sz w:val="32"/>
              </w:rPr>
              <w:t> </w:t>
            </w:r>
            <w:r>
              <w:rPr>
                <w:b/>
                <w:i/>
                <w:color w:val="FFFFFF"/>
                <w:spacing w:val="24"/>
                <w:sz w:val="33"/>
              </w:rPr>
              <w:t>within</w:t>
            </w:r>
            <w:r>
              <w:rPr>
                <w:b/>
                <w:i/>
                <w:color w:val="FFFFFF"/>
                <w:spacing w:val="-41"/>
                <w:sz w:val="33"/>
              </w:rPr>
              <w:t> </w:t>
            </w:r>
            <w:r>
              <w:rPr>
                <w:b/>
                <w:i/>
                <w:color w:val="FFFFFF"/>
                <w:sz w:val="33"/>
              </w:rPr>
              <w:t>3</w:t>
            </w:r>
            <w:r>
              <w:rPr>
                <w:b/>
                <w:i/>
                <w:color w:val="FFFFFF"/>
                <w:spacing w:val="-41"/>
                <w:sz w:val="33"/>
              </w:rPr>
              <w:t> </w:t>
            </w:r>
            <w:r>
              <w:rPr>
                <w:b/>
                <w:i/>
                <w:color w:val="FFFFFF"/>
                <w:spacing w:val="18"/>
                <w:sz w:val="33"/>
              </w:rPr>
              <w:t>days</w:t>
            </w:r>
            <w:r>
              <w:rPr>
                <w:b/>
                <w:i/>
                <w:color w:val="FFFFFF"/>
                <w:spacing w:val="-45"/>
                <w:sz w:val="33"/>
              </w:rPr>
              <w:t> </w:t>
            </w:r>
            <w:r>
              <w:rPr>
                <w:b/>
                <w:i/>
                <w:color w:val="FFFFFF"/>
                <w:spacing w:val="16"/>
                <w:sz w:val="33"/>
              </w:rPr>
              <w:t>(72</w:t>
            </w:r>
            <w:r>
              <w:rPr>
                <w:b/>
                <w:i/>
                <w:color w:val="FFFFFF"/>
                <w:spacing w:val="-42"/>
                <w:sz w:val="33"/>
              </w:rPr>
              <w:t> </w:t>
            </w:r>
            <w:r>
              <w:rPr>
                <w:b/>
                <w:i/>
                <w:color w:val="FFFFFF"/>
                <w:spacing w:val="20"/>
                <w:sz w:val="33"/>
              </w:rPr>
              <w:t>hours)</w:t>
            </w:r>
            <w:r>
              <w:rPr>
                <w:b/>
                <w:i/>
                <w:color w:val="FFFFFF"/>
                <w:spacing w:val="-44"/>
                <w:sz w:val="33"/>
              </w:rPr>
              <w:t> </w:t>
            </w:r>
            <w:r>
              <w:rPr>
                <w:b/>
                <w:color w:val="FFFFFF"/>
                <w:sz w:val="32"/>
              </w:rPr>
              <w:t>of first exposure to infectious</w:t>
            </w:r>
            <w:r>
              <w:rPr>
                <w:b/>
                <w:color w:val="FFFFFF"/>
                <w:spacing w:val="-4"/>
                <w:sz w:val="32"/>
              </w:rPr>
              <w:t> </w:t>
            </w:r>
            <w:r>
              <w:rPr>
                <w:b/>
                <w:color w:val="FFFFFF"/>
                <w:sz w:val="32"/>
              </w:rPr>
              <w:t>case</w:t>
            </w:r>
          </w:p>
        </w:tc>
      </w:tr>
      <w:tr>
        <w:trPr>
          <w:trHeight w:val="296" w:hRule="atLeast"/>
        </w:trPr>
        <w:tc>
          <w:tcPr>
            <w:tcW w:w="2551" w:type="dxa"/>
            <w:vMerge w:val="restart"/>
            <w:shd w:val="clear" w:color="auto" w:fill="959595"/>
          </w:tcPr>
          <w:p>
            <w:pPr>
              <w:pStyle w:val="TableParagraph"/>
              <w:spacing w:before="156"/>
              <w:ind w:left="246" w:right="2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Age</w:t>
            </w:r>
          </w:p>
        </w:tc>
        <w:tc>
          <w:tcPr>
            <w:tcW w:w="7811" w:type="dxa"/>
            <w:gridSpan w:val="3"/>
            <w:tcBorders>
              <w:bottom w:val="single" w:sz="4" w:space="0" w:color="000000"/>
            </w:tcBorders>
            <w:shd w:val="clear" w:color="auto" w:fill="959595"/>
          </w:tcPr>
          <w:p>
            <w:pPr>
              <w:pStyle w:val="TableParagraph"/>
              <w:spacing w:line="264" w:lineRule="exact" w:before="12"/>
              <w:ind w:left="2548"/>
              <w:rPr>
                <w:b/>
                <w:sz w:val="22"/>
              </w:rPr>
            </w:pPr>
            <w:r>
              <w:rPr>
                <w:b/>
                <w:sz w:val="22"/>
              </w:rPr>
              <w:t>MMR vaccination history</w:t>
            </w:r>
          </w:p>
        </w:tc>
      </w:tr>
      <w:tr>
        <w:trPr>
          <w:trHeight w:val="534" w:hRule="atLeast"/>
        </w:trPr>
        <w:tc>
          <w:tcPr>
            <w:tcW w:w="2551" w:type="dxa"/>
            <w:vMerge/>
            <w:tcBorders>
              <w:top w:val="nil"/>
            </w:tcBorders>
            <w:shd w:val="clear" w:color="auto" w:fill="9595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64" w:lineRule="exact" w:before="16"/>
              <w:ind w:left="762" w:right="368" w:hanging="363"/>
              <w:rPr>
                <w:b/>
                <w:sz w:val="22"/>
              </w:rPr>
            </w:pPr>
            <w:r>
              <w:rPr>
                <w:b/>
                <w:sz w:val="22"/>
              </w:rPr>
              <w:t>0 doses MMR or unknown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139"/>
              <w:ind w:left="609"/>
              <w:rPr>
                <w:b/>
                <w:sz w:val="22"/>
              </w:rPr>
            </w:pPr>
            <w:r>
              <w:rPr>
                <w:b/>
                <w:sz w:val="22"/>
              </w:rPr>
              <w:t>1 dose MMR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139"/>
              <w:ind w:left="614" w:right="5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 doses MMR</w:t>
            </w:r>
          </w:p>
        </w:tc>
      </w:tr>
      <w:tr>
        <w:trPr>
          <w:trHeight w:val="1921" w:hRule="atLeast"/>
        </w:trPr>
        <w:tc>
          <w:tcPr>
            <w:tcW w:w="2551" w:type="dxa"/>
            <w:tcBorders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246" w:right="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birth to 5 months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3" w:right="13"/>
              <w:jc w:val="center"/>
              <w:rPr>
                <w:sz w:val="20"/>
              </w:rPr>
            </w:pPr>
            <w:r>
              <w:rPr>
                <w:sz w:val="20"/>
              </w:rPr>
              <w:t>Normal Human </w:t>
            </w:r>
            <w:r>
              <w:rPr>
                <w:w w:val="95"/>
                <w:sz w:val="20"/>
              </w:rPr>
              <w:t>Immunoglobulin</w:t>
            </w:r>
          </w:p>
          <w:p>
            <w:pPr>
              <w:pStyle w:val="TableParagraph"/>
              <w:spacing w:line="241" w:lineRule="exact"/>
              <w:ind w:left="827"/>
              <w:rPr>
                <w:sz w:val="20"/>
              </w:rPr>
            </w:pPr>
            <w:r>
              <w:rPr>
                <w:sz w:val="20"/>
              </w:rPr>
              <w:t>0.2 mL/kg</w:t>
            </w:r>
          </w:p>
          <w:p>
            <w:pPr>
              <w:pStyle w:val="TableParagraph"/>
              <w:ind w:left="59" w:right="43" w:firstLine="3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only </w:t>
            </w:r>
            <w:r>
              <w:rPr>
                <w:sz w:val="20"/>
              </w:rPr>
              <w:t>if mother has had &lt;2 doses MMR and no history of past measles infection or</w:t>
            </w:r>
          </w:p>
          <w:p>
            <w:pPr>
              <w:pStyle w:val="TableParagraph"/>
              <w:spacing w:line="240" w:lineRule="exact" w:before="3"/>
              <w:ind w:left="32" w:right="14"/>
              <w:jc w:val="center"/>
              <w:rPr>
                <w:sz w:val="20"/>
              </w:rPr>
            </w:pPr>
            <w:r>
              <w:rPr>
                <w:sz w:val="20"/>
              </w:rPr>
              <w:t>negative maternal IgG (otherwise, no NHIG)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655"/>
              <w:rPr>
                <w:sz w:val="20"/>
              </w:rPr>
            </w:pPr>
            <w:r>
              <w:rPr>
                <w:sz w:val="20"/>
              </w:rPr>
              <w:t>Not applicable</w:t>
            </w:r>
          </w:p>
        </w:tc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607" w:right="587"/>
              <w:jc w:val="center"/>
              <w:rPr>
                <w:sz w:val="20"/>
              </w:rPr>
            </w:pPr>
            <w:r>
              <w:rPr>
                <w:sz w:val="20"/>
              </w:rPr>
              <w:t>Not applicable</w:t>
            </w:r>
          </w:p>
        </w:tc>
      </w:tr>
      <w:tr>
        <w:trPr>
          <w:trHeight w:val="1274" w:hRule="atLeast"/>
        </w:trPr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46" w:right="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 to 11 months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33" w:right="14"/>
              <w:jc w:val="center"/>
              <w:rPr>
                <w:sz w:val="20"/>
              </w:rPr>
            </w:pPr>
            <w:r>
              <w:rPr>
                <w:sz w:val="20"/>
              </w:rPr>
              <w:t>MMR now, then repeat dose at 12 months of age or 4 weeks later (whichever is later) and the usual dose at 18 months of age.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55"/>
              <w:rPr>
                <w:sz w:val="20"/>
              </w:rPr>
            </w:pPr>
            <w:r>
              <w:rPr>
                <w:sz w:val="20"/>
              </w:rPr>
              <w:t>Not applicable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07" w:right="587"/>
              <w:jc w:val="center"/>
              <w:rPr>
                <w:sz w:val="20"/>
              </w:rPr>
            </w:pPr>
            <w:r>
              <w:rPr>
                <w:sz w:val="20"/>
              </w:rPr>
              <w:t>Not applicable</w:t>
            </w:r>
          </w:p>
        </w:tc>
      </w:tr>
      <w:tr>
        <w:trPr>
          <w:trHeight w:val="1283" w:hRule="atLeast"/>
        </w:trPr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2"/>
              <w:rPr>
                <w:rFonts w:ascii="Times New Roman"/>
                <w:sz w:val="35"/>
              </w:rPr>
            </w:pPr>
          </w:p>
          <w:p>
            <w:pPr>
              <w:pStyle w:val="TableParagraph"/>
              <w:ind w:left="894" w:right="331" w:hanging="526"/>
              <w:rPr>
                <w:b/>
                <w:sz w:val="20"/>
              </w:rPr>
            </w:pPr>
            <w:r>
              <w:rPr>
                <w:b/>
                <w:sz w:val="20"/>
              </w:rPr>
              <w:t>12 months to &lt;18 months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5"/>
              </w:rPr>
            </w:pPr>
          </w:p>
          <w:p>
            <w:pPr>
              <w:pStyle w:val="TableParagraph"/>
              <w:ind w:left="30" w:right="14"/>
              <w:jc w:val="center"/>
              <w:rPr>
                <w:sz w:val="20"/>
              </w:rPr>
            </w:pPr>
            <w:r>
              <w:rPr>
                <w:sz w:val="20"/>
              </w:rPr>
              <w:t>MMR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36"/>
              <w:rPr>
                <w:sz w:val="20"/>
              </w:rPr>
            </w:pPr>
            <w:r>
              <w:rPr>
                <w:sz w:val="20"/>
              </w:rPr>
              <w:t>MMR 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MMRV</w:t>
            </w:r>
          </w:p>
          <w:p>
            <w:pPr>
              <w:pStyle w:val="TableParagraph"/>
              <w:spacing w:before="1"/>
              <w:ind w:left="24" w:right="4"/>
              <w:jc w:val="center"/>
              <w:rPr>
                <w:sz w:val="20"/>
              </w:rPr>
            </w:pPr>
            <w:r>
              <w:rPr>
                <w:sz w:val="20"/>
              </w:rPr>
              <w:t>(at least 4 weeks after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initial dose 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MMR)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09" w:right="587"/>
              <w:jc w:val="center"/>
              <w:rPr>
                <w:sz w:val="20"/>
              </w:rPr>
            </w:pPr>
            <w:r>
              <w:rPr>
                <w:sz w:val="20"/>
              </w:rPr>
              <w:t>Nil necessary</w:t>
            </w:r>
          </w:p>
        </w:tc>
      </w:tr>
      <w:tr>
        <w:trPr>
          <w:trHeight w:val="1933" w:hRule="atLeast"/>
        </w:trPr>
        <w:tc>
          <w:tcPr>
            <w:tcW w:w="2551" w:type="dxa"/>
            <w:tcBorders>
              <w:top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79"/>
              <w:ind w:left="246" w:right="2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≥18 months</w:t>
            </w:r>
          </w:p>
          <w:p>
            <w:pPr>
              <w:pStyle w:val="TableParagraph"/>
              <w:spacing w:before="1"/>
              <w:ind w:left="246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and born after 1965</w:t>
            </w:r>
          </w:p>
        </w:tc>
        <w:tc>
          <w:tcPr>
            <w:tcW w:w="255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4" w:right="37" w:firstLine="2"/>
              <w:jc w:val="center"/>
              <w:rPr>
                <w:sz w:val="20"/>
              </w:rPr>
            </w:pPr>
            <w:r>
              <w:rPr>
                <w:sz w:val="20"/>
              </w:rPr>
              <w:t>MMR if not pregnant. If pregnant: consult with obstetrician or GP; check IgG if time; offer NHIG (0.2 mL/kg to a maximum of</w:t>
            </w:r>
          </w:p>
          <w:p>
            <w:pPr>
              <w:pStyle w:val="TableParagraph"/>
              <w:ind w:left="27" w:right="14"/>
              <w:jc w:val="center"/>
              <w:rPr>
                <w:sz w:val="20"/>
              </w:rPr>
            </w:pPr>
            <w:r>
              <w:rPr>
                <w:sz w:val="20"/>
              </w:rPr>
              <w:t>15 mL)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168" w:right="149"/>
              <w:jc w:val="center"/>
              <w:rPr>
                <w:sz w:val="20"/>
              </w:rPr>
            </w:pPr>
            <w:r>
              <w:rPr>
                <w:sz w:val="20"/>
              </w:rPr>
              <w:t>MMR or MMRV (see page 12, based on age) if not pregnant.</w:t>
            </w:r>
          </w:p>
          <w:p>
            <w:pPr>
              <w:pStyle w:val="TableParagraph"/>
              <w:ind w:left="57" w:right="39" w:firstLine="4"/>
              <w:jc w:val="center"/>
              <w:rPr>
                <w:sz w:val="20"/>
              </w:rPr>
            </w:pPr>
            <w:r>
              <w:rPr>
                <w:sz w:val="20"/>
              </w:rPr>
              <w:t>If pregnant: consult with obstetrician or GP; check IgG if time; offer NHIG (0.2 mL/kg to a maximum of</w:t>
            </w:r>
          </w:p>
          <w:p>
            <w:pPr>
              <w:pStyle w:val="TableParagraph"/>
              <w:spacing w:line="217" w:lineRule="exact"/>
              <w:ind w:left="18" w:right="4"/>
              <w:jc w:val="center"/>
              <w:rPr>
                <w:sz w:val="20"/>
              </w:rPr>
            </w:pPr>
            <w:r>
              <w:rPr>
                <w:sz w:val="20"/>
              </w:rPr>
              <w:t>15 mL)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609" w:right="587"/>
              <w:jc w:val="center"/>
              <w:rPr>
                <w:sz w:val="20"/>
              </w:rPr>
            </w:pPr>
            <w:r>
              <w:rPr>
                <w:sz w:val="20"/>
              </w:rPr>
              <w:t>Nil necessary</w:t>
            </w:r>
          </w:p>
        </w:tc>
      </w:tr>
      <w:tr>
        <w:trPr>
          <w:trHeight w:val="1280" w:hRule="atLeast"/>
        </w:trPr>
        <w:tc>
          <w:tcPr>
            <w:tcW w:w="2551" w:type="dxa"/>
            <w:tcBorders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11"/>
              <w:rPr>
                <w:rFonts w:ascii="Times New Roman"/>
                <w:sz w:val="34"/>
              </w:rPr>
            </w:pPr>
          </w:p>
          <w:p>
            <w:pPr>
              <w:pStyle w:val="TableParagraph"/>
              <w:ind w:left="789" w:hanging="68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Immunocompromised* </w:t>
            </w:r>
            <w:r>
              <w:rPr>
                <w:b/>
                <w:sz w:val="20"/>
              </w:rPr>
              <w:t>(any age)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9"/>
              <w:ind w:left="559" w:right="368" w:firstLine="55"/>
              <w:rPr>
                <w:sz w:val="20"/>
              </w:rPr>
            </w:pPr>
            <w:r>
              <w:rPr>
                <w:sz w:val="20"/>
              </w:rPr>
              <w:t>Normal Human </w:t>
            </w:r>
            <w:r>
              <w:rPr>
                <w:w w:val="95"/>
                <w:sz w:val="20"/>
              </w:rPr>
              <w:t>Immunoglobulin</w:t>
            </w:r>
          </w:p>
          <w:p>
            <w:pPr>
              <w:pStyle w:val="TableParagraph"/>
              <w:spacing w:before="2"/>
              <w:ind w:left="69"/>
              <w:rPr>
                <w:sz w:val="20"/>
              </w:rPr>
            </w:pPr>
            <w:r>
              <w:rPr>
                <w:sz w:val="20"/>
              </w:rPr>
              <w:t>0.5 mL/kg to max of 15 mL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9"/>
              <w:ind w:left="564" w:firstLine="52"/>
              <w:rPr>
                <w:sz w:val="20"/>
              </w:rPr>
            </w:pPr>
            <w:r>
              <w:rPr>
                <w:sz w:val="20"/>
              </w:rPr>
              <w:t>Normal Human </w:t>
            </w:r>
            <w:r>
              <w:rPr>
                <w:w w:val="95"/>
                <w:sz w:val="20"/>
              </w:rPr>
              <w:t>Immunoglobulin</w:t>
            </w:r>
          </w:p>
          <w:p>
            <w:pPr>
              <w:pStyle w:val="TableParagraph"/>
              <w:spacing w:before="2"/>
              <w:ind w:left="72"/>
              <w:rPr>
                <w:sz w:val="20"/>
              </w:rPr>
            </w:pPr>
            <w:r>
              <w:rPr>
                <w:sz w:val="20"/>
              </w:rPr>
              <w:t>0.5 mL/kg to max of 15 mL</w:t>
            </w:r>
          </w:p>
        </w:tc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9"/>
              <w:ind w:left="643" w:firstLine="52"/>
              <w:rPr>
                <w:sz w:val="20"/>
              </w:rPr>
            </w:pPr>
            <w:r>
              <w:rPr>
                <w:sz w:val="20"/>
              </w:rPr>
              <w:t>Normal Human </w:t>
            </w:r>
            <w:r>
              <w:rPr>
                <w:w w:val="95"/>
                <w:sz w:val="20"/>
              </w:rPr>
              <w:t>Immunoglobulin</w:t>
            </w:r>
          </w:p>
          <w:p>
            <w:pPr>
              <w:pStyle w:val="TableParagraph"/>
              <w:spacing w:before="2"/>
              <w:ind w:left="151"/>
              <w:rPr>
                <w:sz w:val="20"/>
              </w:rPr>
            </w:pPr>
            <w:r>
              <w:rPr>
                <w:sz w:val="20"/>
              </w:rPr>
              <w:t>0.5 mL/kg to max of 15 mL</w:t>
            </w:r>
          </w:p>
        </w:tc>
      </w:tr>
    </w:tbl>
    <w:p>
      <w:pPr>
        <w:pStyle w:val="BodyText"/>
        <w:ind w:left="739" w:right="1263"/>
      </w:pPr>
      <w:r>
        <w:rPr/>
        <w:t>*See discussion about immunocompromised contacts in section 11. Consult with treating clinician about interpretation of IgG results and use of NHIG.</w:t>
      </w:r>
    </w:p>
    <w:p>
      <w:pPr>
        <w:spacing w:after="0"/>
        <w:sectPr>
          <w:footerReference w:type="default" r:id="rId5"/>
          <w:type w:val="continuous"/>
          <w:pgSz w:w="11910" w:h="16840"/>
          <w:pgMar w:footer="918" w:top="1420" w:bottom="1100" w:left="1060" w:right="200"/>
          <w:pgNumType w:start="15"/>
        </w:sectPr>
      </w:pPr>
    </w:p>
    <w:tbl>
      <w:tblPr>
        <w:tblW w:w="0" w:type="auto"/>
        <w:jc w:val="left"/>
        <w:tblInd w:w="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2592"/>
        <w:gridCol w:w="2520"/>
        <w:gridCol w:w="2741"/>
      </w:tblGrid>
      <w:tr>
        <w:trPr>
          <w:trHeight w:val="786" w:hRule="atLeast"/>
        </w:trPr>
        <w:tc>
          <w:tcPr>
            <w:tcW w:w="10263" w:type="dxa"/>
            <w:gridSpan w:val="4"/>
            <w:shd w:val="clear" w:color="auto" w:fill="333333"/>
          </w:tcPr>
          <w:p>
            <w:pPr>
              <w:pStyle w:val="TableParagraph"/>
              <w:spacing w:line="386" w:lineRule="exact" w:before="29"/>
              <w:ind w:left="232" w:hanging="82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Table</w:t>
            </w:r>
            <w:r>
              <w:rPr>
                <w:b/>
                <w:color w:val="FFFFFF"/>
                <w:spacing w:val="-55"/>
                <w:sz w:val="32"/>
              </w:rPr>
              <w:t> </w:t>
            </w:r>
            <w:r>
              <w:rPr>
                <w:b/>
                <w:color w:val="FFFFFF"/>
                <w:sz w:val="32"/>
              </w:rPr>
              <w:t>3:</w:t>
            </w:r>
            <w:r>
              <w:rPr>
                <w:b/>
                <w:color w:val="FFFFFF"/>
                <w:spacing w:val="-55"/>
                <w:sz w:val="32"/>
              </w:rPr>
              <w:t> </w:t>
            </w:r>
            <w:r>
              <w:rPr>
                <w:b/>
                <w:color w:val="FFFFFF"/>
                <w:sz w:val="32"/>
              </w:rPr>
              <w:t>Post-exposure</w:t>
            </w:r>
            <w:r>
              <w:rPr>
                <w:b/>
                <w:color w:val="FFFFFF"/>
                <w:spacing w:val="-54"/>
                <w:sz w:val="32"/>
              </w:rPr>
              <w:t> </w:t>
            </w:r>
            <w:r>
              <w:rPr>
                <w:b/>
                <w:color w:val="FFFFFF"/>
                <w:sz w:val="32"/>
              </w:rPr>
              <w:t>guidelines</w:t>
            </w:r>
            <w:r>
              <w:rPr>
                <w:b/>
                <w:color w:val="FFFFFF"/>
                <w:spacing w:val="-55"/>
                <w:sz w:val="32"/>
              </w:rPr>
              <w:t> </w:t>
            </w:r>
            <w:r>
              <w:rPr>
                <w:b/>
                <w:color w:val="FFFFFF"/>
                <w:sz w:val="32"/>
              </w:rPr>
              <w:t>–</w:t>
            </w:r>
            <w:r>
              <w:rPr>
                <w:b/>
                <w:color w:val="FFFFFF"/>
                <w:spacing w:val="-54"/>
                <w:sz w:val="32"/>
              </w:rPr>
              <w:t> </w:t>
            </w:r>
            <w:r>
              <w:rPr>
                <w:b/>
                <w:i/>
                <w:color w:val="FFFFFF"/>
                <w:spacing w:val="17"/>
                <w:sz w:val="33"/>
              </w:rPr>
              <w:t>from</w:t>
            </w:r>
            <w:r>
              <w:rPr>
                <w:b/>
                <w:i/>
                <w:color w:val="FFFFFF"/>
                <w:spacing w:val="-42"/>
                <w:sz w:val="33"/>
              </w:rPr>
              <w:t> </w:t>
            </w:r>
            <w:r>
              <w:rPr>
                <w:b/>
                <w:i/>
                <w:color w:val="FFFFFF"/>
                <w:sz w:val="33"/>
              </w:rPr>
              <w:t>3 </w:t>
            </w:r>
            <w:r>
              <w:rPr>
                <w:b/>
                <w:i/>
                <w:color w:val="FFFFFF"/>
                <w:spacing w:val="19"/>
                <w:sz w:val="33"/>
              </w:rPr>
              <w:t>days</w:t>
            </w:r>
            <w:r>
              <w:rPr>
                <w:b/>
                <w:i/>
                <w:color w:val="FFFFFF"/>
                <w:spacing w:val="-48"/>
                <w:sz w:val="33"/>
              </w:rPr>
              <w:t> </w:t>
            </w:r>
            <w:r>
              <w:rPr>
                <w:b/>
                <w:i/>
                <w:color w:val="FFFFFF"/>
                <w:spacing w:val="17"/>
                <w:sz w:val="33"/>
              </w:rPr>
              <w:t>(73</w:t>
            </w:r>
            <w:r>
              <w:rPr>
                <w:b/>
                <w:i/>
                <w:color w:val="FFFFFF"/>
                <w:spacing w:val="-45"/>
                <w:sz w:val="33"/>
              </w:rPr>
              <w:t> </w:t>
            </w:r>
            <w:r>
              <w:rPr>
                <w:b/>
                <w:i/>
                <w:color w:val="FFFFFF"/>
                <w:spacing w:val="20"/>
                <w:sz w:val="33"/>
              </w:rPr>
              <w:t>hours)</w:t>
            </w:r>
            <w:r>
              <w:rPr>
                <w:b/>
                <w:i/>
                <w:color w:val="FFFFFF"/>
                <w:spacing w:val="-47"/>
                <w:sz w:val="33"/>
              </w:rPr>
              <w:t> </w:t>
            </w:r>
            <w:r>
              <w:rPr>
                <w:b/>
                <w:i/>
                <w:color w:val="FFFFFF"/>
                <w:spacing w:val="12"/>
                <w:sz w:val="33"/>
              </w:rPr>
              <w:t>to </w:t>
            </w:r>
            <w:r>
              <w:rPr>
                <w:b/>
                <w:i/>
                <w:color w:val="FFFFFF"/>
                <w:spacing w:val="24"/>
                <w:sz w:val="33"/>
              </w:rPr>
              <w:t>within</w:t>
            </w:r>
            <w:r>
              <w:rPr>
                <w:b/>
                <w:i/>
                <w:color w:val="FFFFFF"/>
                <w:spacing w:val="-49"/>
                <w:sz w:val="33"/>
              </w:rPr>
              <w:t> </w:t>
            </w:r>
            <w:r>
              <w:rPr>
                <w:b/>
                <w:i/>
                <w:color w:val="FFFFFF"/>
                <w:sz w:val="33"/>
              </w:rPr>
              <w:t>6 </w:t>
            </w:r>
            <w:r>
              <w:rPr>
                <w:b/>
                <w:i/>
                <w:color w:val="FFFFFF"/>
                <w:spacing w:val="18"/>
                <w:sz w:val="33"/>
              </w:rPr>
              <w:t>days</w:t>
            </w:r>
            <w:r>
              <w:rPr>
                <w:b/>
                <w:i/>
                <w:color w:val="FFFFFF"/>
                <w:spacing w:val="-49"/>
                <w:sz w:val="33"/>
              </w:rPr>
              <w:t> </w:t>
            </w:r>
            <w:r>
              <w:rPr>
                <w:b/>
                <w:i/>
                <w:color w:val="FFFFFF"/>
                <w:spacing w:val="20"/>
                <w:sz w:val="33"/>
              </w:rPr>
              <w:t>(144</w:t>
            </w:r>
            <w:r>
              <w:rPr>
                <w:b/>
                <w:i/>
                <w:color w:val="FFFFFF"/>
                <w:spacing w:val="-48"/>
                <w:sz w:val="33"/>
              </w:rPr>
              <w:t> </w:t>
            </w:r>
            <w:r>
              <w:rPr>
                <w:b/>
                <w:i/>
                <w:color w:val="FFFFFF"/>
                <w:spacing w:val="20"/>
                <w:sz w:val="33"/>
              </w:rPr>
              <w:t>hours)</w:t>
            </w:r>
            <w:r>
              <w:rPr>
                <w:b/>
                <w:i/>
                <w:color w:val="FFFFFF"/>
                <w:spacing w:val="-50"/>
                <w:sz w:val="33"/>
              </w:rPr>
              <w:t> </w:t>
            </w:r>
            <w:r>
              <w:rPr>
                <w:b/>
                <w:color w:val="FFFFFF"/>
                <w:sz w:val="32"/>
              </w:rPr>
              <w:t>of</w:t>
            </w:r>
            <w:r>
              <w:rPr>
                <w:b/>
                <w:color w:val="FFFFFF"/>
                <w:spacing w:val="-56"/>
                <w:sz w:val="32"/>
              </w:rPr>
              <w:t> </w:t>
            </w:r>
            <w:r>
              <w:rPr>
                <w:b/>
                <w:color w:val="FFFFFF"/>
                <w:sz w:val="32"/>
              </w:rPr>
              <w:t>first</w:t>
            </w:r>
            <w:r>
              <w:rPr>
                <w:b/>
                <w:color w:val="FFFFFF"/>
                <w:spacing w:val="-57"/>
                <w:sz w:val="32"/>
              </w:rPr>
              <w:t> </w:t>
            </w:r>
            <w:r>
              <w:rPr>
                <w:b/>
                <w:color w:val="FFFFFF"/>
                <w:sz w:val="32"/>
              </w:rPr>
              <w:t>exposure</w:t>
            </w:r>
            <w:r>
              <w:rPr>
                <w:b/>
                <w:color w:val="FFFFFF"/>
                <w:spacing w:val="-55"/>
                <w:sz w:val="32"/>
              </w:rPr>
              <w:t> </w:t>
            </w:r>
            <w:r>
              <w:rPr>
                <w:b/>
                <w:color w:val="FFFFFF"/>
                <w:sz w:val="32"/>
              </w:rPr>
              <w:t>to</w:t>
            </w:r>
            <w:r>
              <w:rPr>
                <w:b/>
                <w:color w:val="FFFFFF"/>
                <w:spacing w:val="-56"/>
                <w:sz w:val="32"/>
              </w:rPr>
              <w:t> </w:t>
            </w:r>
            <w:r>
              <w:rPr>
                <w:b/>
                <w:color w:val="FFFFFF"/>
                <w:sz w:val="32"/>
              </w:rPr>
              <w:t>infectious</w:t>
            </w:r>
            <w:r>
              <w:rPr>
                <w:b/>
                <w:color w:val="FFFFFF"/>
                <w:spacing w:val="-56"/>
                <w:sz w:val="32"/>
              </w:rPr>
              <w:t> </w:t>
            </w:r>
            <w:r>
              <w:rPr>
                <w:b/>
                <w:color w:val="FFFFFF"/>
                <w:sz w:val="32"/>
              </w:rPr>
              <w:t>case</w:t>
            </w:r>
          </w:p>
        </w:tc>
      </w:tr>
      <w:tr>
        <w:trPr>
          <w:trHeight w:val="300" w:hRule="atLeast"/>
        </w:trPr>
        <w:tc>
          <w:tcPr>
            <w:tcW w:w="2410" w:type="dxa"/>
            <w:vMerge w:val="restart"/>
            <w:shd w:val="clear" w:color="auto" w:fill="959595"/>
          </w:tcPr>
          <w:p>
            <w:pPr>
              <w:pStyle w:val="TableParagraph"/>
              <w:spacing w:before="156"/>
              <w:ind w:left="179" w:right="15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Age</w:t>
            </w:r>
          </w:p>
        </w:tc>
        <w:tc>
          <w:tcPr>
            <w:tcW w:w="7853" w:type="dxa"/>
            <w:gridSpan w:val="3"/>
            <w:tcBorders>
              <w:bottom w:val="single" w:sz="8" w:space="0" w:color="C0C0C0"/>
            </w:tcBorders>
            <w:shd w:val="clear" w:color="auto" w:fill="959595"/>
          </w:tcPr>
          <w:p>
            <w:pPr>
              <w:pStyle w:val="TableParagraph"/>
              <w:spacing w:before="12"/>
              <w:ind w:left="2567"/>
              <w:rPr>
                <w:b/>
                <w:sz w:val="22"/>
              </w:rPr>
            </w:pPr>
            <w:r>
              <w:rPr>
                <w:b/>
                <w:sz w:val="22"/>
              </w:rPr>
              <w:t>MMR vaccination history</w:t>
            </w:r>
          </w:p>
        </w:tc>
      </w:tr>
      <w:tr>
        <w:trPr>
          <w:trHeight w:val="529" w:hRule="atLeast"/>
        </w:trPr>
        <w:tc>
          <w:tcPr>
            <w:tcW w:w="2410" w:type="dxa"/>
            <w:vMerge/>
            <w:tcBorders>
              <w:top w:val="nil"/>
            </w:tcBorders>
            <w:shd w:val="clear" w:color="auto" w:fill="9595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64" w:lineRule="exact" w:before="11"/>
              <w:ind w:left="781" w:right="390" w:hanging="363"/>
              <w:rPr>
                <w:b/>
                <w:sz w:val="22"/>
              </w:rPr>
            </w:pPr>
            <w:r>
              <w:rPr>
                <w:b/>
                <w:sz w:val="22"/>
              </w:rPr>
              <w:t>0 doses MMR or unknown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135"/>
              <w:ind w:right="57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 dose MMR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135"/>
              <w:ind w:left="627" w:right="6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 doses MMR</w:t>
            </w:r>
          </w:p>
        </w:tc>
      </w:tr>
      <w:tr>
        <w:trPr>
          <w:trHeight w:val="1922" w:hRule="atLeast"/>
        </w:trPr>
        <w:tc>
          <w:tcPr>
            <w:tcW w:w="2410" w:type="dxa"/>
            <w:tcBorders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179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birth to 5 months</w:t>
            </w:r>
          </w:p>
        </w:tc>
        <w:tc>
          <w:tcPr>
            <w:tcW w:w="259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0" w:right="74"/>
              <w:jc w:val="center"/>
              <w:rPr>
                <w:sz w:val="20"/>
              </w:rPr>
            </w:pPr>
            <w:r>
              <w:rPr>
                <w:sz w:val="20"/>
              </w:rPr>
              <w:t>Normal Human </w:t>
            </w:r>
            <w:r>
              <w:rPr>
                <w:w w:val="95"/>
                <w:sz w:val="20"/>
              </w:rPr>
              <w:t>Immunoglobulin</w:t>
            </w:r>
          </w:p>
          <w:p>
            <w:pPr>
              <w:pStyle w:val="TableParagraph"/>
              <w:spacing w:line="241" w:lineRule="exact"/>
              <w:ind w:left="846"/>
              <w:rPr>
                <w:sz w:val="20"/>
              </w:rPr>
            </w:pPr>
            <w:r>
              <w:rPr>
                <w:sz w:val="20"/>
              </w:rPr>
              <w:t>0.2 mL/kg</w:t>
            </w:r>
          </w:p>
          <w:p>
            <w:pPr>
              <w:pStyle w:val="TableParagraph"/>
              <w:ind w:left="15" w:right="1" w:hanging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only </w:t>
            </w:r>
            <w:r>
              <w:rPr>
                <w:sz w:val="20"/>
              </w:rPr>
              <w:t>if mother has had &lt;2 doses MMR and no history of past measles infection or</w:t>
            </w:r>
          </w:p>
          <w:p>
            <w:pPr>
              <w:pStyle w:val="TableParagraph"/>
              <w:spacing w:line="240" w:lineRule="exact" w:before="4"/>
              <w:ind w:left="90" w:right="76"/>
              <w:jc w:val="center"/>
              <w:rPr>
                <w:sz w:val="20"/>
              </w:rPr>
            </w:pPr>
            <w:r>
              <w:rPr>
                <w:sz w:val="20"/>
              </w:rPr>
              <w:t>negative maternal IgG (otherwise, no NHIG)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right="622"/>
              <w:jc w:val="right"/>
              <w:rPr>
                <w:sz w:val="20"/>
              </w:rPr>
            </w:pPr>
            <w:r>
              <w:rPr>
                <w:sz w:val="20"/>
              </w:rPr>
              <w:t>Not applicable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625" w:right="605"/>
              <w:jc w:val="center"/>
              <w:rPr>
                <w:sz w:val="20"/>
              </w:rPr>
            </w:pPr>
            <w:r>
              <w:rPr>
                <w:sz w:val="20"/>
              </w:rPr>
              <w:t>Not applicable</w:t>
            </w:r>
          </w:p>
        </w:tc>
      </w:tr>
      <w:tr>
        <w:trPr>
          <w:trHeight w:val="1273" w:hRule="atLeast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177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 to 11 months</w:t>
            </w:r>
          </w:p>
        </w:tc>
        <w:tc>
          <w:tcPr>
            <w:tcW w:w="2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577" w:right="390" w:firstLine="55"/>
              <w:rPr>
                <w:sz w:val="20"/>
              </w:rPr>
            </w:pPr>
            <w:r>
              <w:rPr>
                <w:sz w:val="20"/>
              </w:rPr>
              <w:t>Normal Human </w:t>
            </w:r>
            <w:r>
              <w:rPr>
                <w:w w:val="95"/>
                <w:sz w:val="20"/>
              </w:rPr>
              <w:t>Immunoglobulin</w:t>
            </w:r>
          </w:p>
          <w:p>
            <w:pPr>
              <w:pStyle w:val="TableParagraph"/>
              <w:spacing w:line="241" w:lineRule="exact"/>
              <w:ind w:left="846"/>
              <w:rPr>
                <w:sz w:val="20"/>
              </w:rPr>
            </w:pPr>
            <w:r>
              <w:rPr>
                <w:sz w:val="20"/>
              </w:rPr>
              <w:t>0.2 mL/kg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right="622"/>
              <w:jc w:val="right"/>
              <w:rPr>
                <w:sz w:val="20"/>
              </w:rPr>
            </w:pPr>
            <w:r>
              <w:rPr>
                <w:sz w:val="20"/>
              </w:rPr>
              <w:t>Not applicable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625" w:right="605"/>
              <w:jc w:val="center"/>
              <w:rPr>
                <w:sz w:val="20"/>
              </w:rPr>
            </w:pPr>
            <w:r>
              <w:rPr>
                <w:sz w:val="20"/>
              </w:rPr>
              <w:t>Not applicable</w:t>
            </w:r>
          </w:p>
        </w:tc>
      </w:tr>
      <w:tr>
        <w:trPr>
          <w:trHeight w:val="1283" w:hRule="atLeast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6"/>
              <w:rPr>
                <w:sz w:val="33"/>
              </w:rPr>
            </w:pPr>
          </w:p>
          <w:p>
            <w:pPr>
              <w:pStyle w:val="TableParagraph"/>
              <w:ind w:left="537"/>
              <w:rPr>
                <w:b/>
                <w:sz w:val="20"/>
              </w:rPr>
            </w:pPr>
            <w:r>
              <w:rPr>
                <w:b/>
                <w:sz w:val="20"/>
              </w:rPr>
              <w:t>12 months to</w:t>
            </w:r>
          </w:p>
          <w:p>
            <w:pPr>
              <w:pStyle w:val="TableParagraph"/>
              <w:spacing w:before="1"/>
              <w:ind w:left="587"/>
              <w:rPr>
                <w:b/>
                <w:sz w:val="20"/>
              </w:rPr>
            </w:pPr>
            <w:r>
              <w:rPr>
                <w:b/>
                <w:sz w:val="20"/>
              </w:rPr>
              <w:t>&lt;18 months</w:t>
            </w:r>
          </w:p>
        </w:tc>
        <w:tc>
          <w:tcPr>
            <w:tcW w:w="2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577" w:right="390" w:firstLine="55"/>
              <w:rPr>
                <w:sz w:val="20"/>
              </w:rPr>
            </w:pPr>
            <w:r>
              <w:rPr>
                <w:sz w:val="20"/>
              </w:rPr>
              <w:t>Normal Human </w:t>
            </w:r>
            <w:r>
              <w:rPr>
                <w:w w:val="95"/>
                <w:sz w:val="20"/>
              </w:rPr>
              <w:t>Immunoglobulin</w:t>
            </w:r>
          </w:p>
          <w:p>
            <w:pPr>
              <w:pStyle w:val="TableParagraph"/>
              <w:spacing w:line="241" w:lineRule="exact"/>
              <w:ind w:left="846"/>
              <w:rPr>
                <w:sz w:val="20"/>
              </w:rPr>
            </w:pPr>
            <w:r>
              <w:rPr>
                <w:sz w:val="20"/>
              </w:rPr>
              <w:t>0.2 mL/kg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685"/>
              <w:rPr>
                <w:sz w:val="20"/>
              </w:rPr>
            </w:pPr>
            <w:r>
              <w:rPr>
                <w:sz w:val="20"/>
              </w:rPr>
              <w:t>Nil necessary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627" w:right="605"/>
              <w:jc w:val="center"/>
              <w:rPr>
                <w:sz w:val="20"/>
              </w:rPr>
            </w:pPr>
            <w:r>
              <w:rPr>
                <w:sz w:val="20"/>
              </w:rPr>
              <w:t>Nil necessary</w:t>
            </w:r>
          </w:p>
        </w:tc>
      </w:tr>
      <w:tr>
        <w:trPr>
          <w:trHeight w:val="3141" w:hRule="atLeast"/>
        </w:trPr>
        <w:tc>
          <w:tcPr>
            <w:tcW w:w="2410" w:type="dxa"/>
            <w:tcBorders>
              <w:top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4"/>
              <w:ind w:left="179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≥18 months</w:t>
            </w:r>
          </w:p>
          <w:p>
            <w:pPr>
              <w:pStyle w:val="TableParagraph"/>
              <w:spacing w:before="1"/>
              <w:ind w:left="179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and born after 1965</w:t>
            </w:r>
          </w:p>
        </w:tc>
        <w:tc>
          <w:tcPr>
            <w:tcW w:w="259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577" w:right="566" w:firstLine="4"/>
              <w:jc w:val="center"/>
              <w:rPr>
                <w:sz w:val="20"/>
              </w:rPr>
            </w:pPr>
            <w:r>
              <w:rPr>
                <w:sz w:val="20"/>
              </w:rPr>
              <w:t>Normal Human </w:t>
            </w:r>
            <w:r>
              <w:rPr>
                <w:w w:val="95"/>
                <w:sz w:val="20"/>
              </w:rPr>
              <w:t>Immunoglobulin</w:t>
            </w:r>
          </w:p>
          <w:p>
            <w:pPr>
              <w:pStyle w:val="TableParagraph"/>
              <w:ind w:left="762" w:right="56" w:hanging="675"/>
              <w:rPr>
                <w:sz w:val="20"/>
              </w:rPr>
            </w:pPr>
            <w:r>
              <w:rPr>
                <w:sz w:val="20"/>
              </w:rPr>
              <w:t>0.2 mL/kg to max of 15 mL Prioritise for</w:t>
            </w:r>
          </w:p>
          <w:p>
            <w:pPr>
              <w:pStyle w:val="TableParagraph"/>
              <w:spacing w:before="2"/>
              <w:ind w:left="85" w:right="72" w:firstLine="3"/>
              <w:jc w:val="center"/>
              <w:rPr>
                <w:sz w:val="20"/>
              </w:rPr>
            </w:pPr>
            <w:r>
              <w:rPr>
                <w:sz w:val="20"/>
              </w:rPr>
              <w:t>immunocompromised people, pregnant women, healthcare workers and close personal (e.g. household) contacts.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Wider use is not routinely recommended, but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should</w:t>
            </w:r>
          </w:p>
          <w:p>
            <w:pPr>
              <w:pStyle w:val="TableParagraph"/>
              <w:spacing w:line="240" w:lineRule="exact" w:before="7"/>
              <w:ind w:left="90" w:right="78"/>
              <w:jc w:val="center"/>
              <w:rPr>
                <w:sz w:val="20"/>
              </w:rPr>
            </w:pPr>
            <w:r>
              <w:rPr>
                <w:sz w:val="20"/>
              </w:rPr>
              <w:t>be judged in relation 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the relative risks 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benefits.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30"/>
              </w:rPr>
            </w:pPr>
          </w:p>
          <w:p>
            <w:pPr>
              <w:pStyle w:val="TableParagraph"/>
              <w:ind w:left="90" w:right="70" w:hanging="3"/>
              <w:jc w:val="center"/>
              <w:rPr>
                <w:sz w:val="20"/>
              </w:rPr>
            </w:pPr>
            <w:r>
              <w:rPr>
                <w:sz w:val="20"/>
              </w:rPr>
              <w:t>Nil necessary – consider MMR or MMRV </w:t>
            </w:r>
            <w:r>
              <w:rPr>
                <w:spacing w:val="-3"/>
                <w:sz w:val="20"/>
              </w:rPr>
              <w:t>(depending </w:t>
            </w:r>
            <w:r>
              <w:rPr>
                <w:sz w:val="20"/>
              </w:rPr>
              <w:t>on age) if not pregnant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40" w:right="21" w:firstLine="2"/>
              <w:jc w:val="center"/>
              <w:rPr>
                <w:sz w:val="20"/>
              </w:rPr>
            </w:pPr>
            <w:r>
              <w:rPr>
                <w:sz w:val="20"/>
              </w:rPr>
              <w:t>If pregnant, check IgG if time allows and offer NHIG if IgG is not detected (0.2 mL/kg to a maximum of 15 mL) and inform obstetrician or GP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626" w:right="605"/>
              <w:jc w:val="center"/>
              <w:rPr>
                <w:sz w:val="20"/>
              </w:rPr>
            </w:pPr>
            <w:r>
              <w:rPr>
                <w:sz w:val="20"/>
              </w:rPr>
              <w:t>Nil necessary</w:t>
            </w:r>
          </w:p>
        </w:tc>
      </w:tr>
      <w:tr>
        <w:trPr>
          <w:trHeight w:val="1272" w:hRule="atLeast"/>
        </w:trPr>
        <w:tc>
          <w:tcPr>
            <w:tcW w:w="2410" w:type="dxa"/>
            <w:tcBorders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721" w:hanging="68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Immunocompromised* </w:t>
            </w:r>
            <w:r>
              <w:rPr>
                <w:b/>
                <w:sz w:val="20"/>
              </w:rPr>
              <w:t>(any age)</w:t>
            </w:r>
          </w:p>
        </w:tc>
        <w:tc>
          <w:tcPr>
            <w:tcW w:w="259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0"/>
              <w:ind w:left="577" w:right="390" w:firstLine="55"/>
              <w:rPr>
                <w:sz w:val="20"/>
              </w:rPr>
            </w:pPr>
            <w:r>
              <w:rPr>
                <w:sz w:val="20"/>
              </w:rPr>
              <w:t>Normal Human </w:t>
            </w:r>
            <w:r>
              <w:rPr>
                <w:w w:val="95"/>
                <w:sz w:val="20"/>
              </w:rPr>
              <w:t>Immunoglobulin</w:t>
            </w:r>
          </w:p>
          <w:p>
            <w:pPr>
              <w:pStyle w:val="TableParagraph"/>
              <w:spacing w:before="2"/>
              <w:ind w:left="87"/>
              <w:rPr>
                <w:sz w:val="20"/>
              </w:rPr>
            </w:pPr>
            <w:r>
              <w:rPr>
                <w:sz w:val="20"/>
              </w:rPr>
              <w:t>0.5 mL/kg to max of 15 mL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0"/>
              <w:ind w:left="546" w:firstLine="55"/>
              <w:rPr>
                <w:sz w:val="20"/>
              </w:rPr>
            </w:pPr>
            <w:r>
              <w:rPr>
                <w:sz w:val="20"/>
              </w:rPr>
              <w:t>Normal Human </w:t>
            </w:r>
            <w:r>
              <w:rPr>
                <w:w w:val="95"/>
                <w:sz w:val="20"/>
              </w:rPr>
              <w:t>Immunoglobulin</w:t>
            </w:r>
          </w:p>
          <w:p>
            <w:pPr>
              <w:pStyle w:val="TableParagraph"/>
              <w:spacing w:before="2"/>
              <w:ind w:left="56"/>
              <w:rPr>
                <w:sz w:val="20"/>
              </w:rPr>
            </w:pPr>
            <w:r>
              <w:rPr>
                <w:sz w:val="20"/>
              </w:rPr>
              <w:t>0.5 mL/kg to max of 15 mL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0"/>
              <w:ind w:left="657" w:firstLine="55"/>
              <w:rPr>
                <w:sz w:val="20"/>
              </w:rPr>
            </w:pPr>
            <w:r>
              <w:rPr>
                <w:sz w:val="20"/>
              </w:rPr>
              <w:t>Normal Human </w:t>
            </w:r>
            <w:r>
              <w:rPr>
                <w:w w:val="95"/>
                <w:sz w:val="20"/>
              </w:rPr>
              <w:t>Immunoglobulin</w:t>
            </w:r>
          </w:p>
          <w:p>
            <w:pPr>
              <w:pStyle w:val="TableParagraph"/>
              <w:spacing w:before="2"/>
              <w:ind w:left="167"/>
              <w:rPr>
                <w:sz w:val="20"/>
              </w:rPr>
            </w:pPr>
            <w:r>
              <w:rPr>
                <w:sz w:val="20"/>
              </w:rPr>
              <w:t>0.5 mL/kg to max of 15 mL</w:t>
            </w:r>
          </w:p>
        </w:tc>
      </w:tr>
    </w:tbl>
    <w:p>
      <w:pPr>
        <w:pStyle w:val="BodyText"/>
        <w:ind w:left="740" w:right="1262"/>
      </w:pPr>
      <w:r>
        <w:rPr/>
        <w:t>*See discussion about immunocompromised contacts in section 11. Consult with treating clinician about interpretation of IgG results and use of NHIG.</w:t>
      </w:r>
    </w:p>
    <w:p>
      <w:pPr>
        <w:pStyle w:val="BodyText"/>
        <w:spacing w:before="2"/>
      </w:pPr>
    </w:p>
    <w:p>
      <w:pPr>
        <w:spacing w:before="0"/>
        <w:ind w:left="380" w:right="0" w:firstLine="0"/>
        <w:jc w:val="left"/>
        <w:rPr>
          <w:b/>
          <w:sz w:val="28"/>
        </w:rPr>
      </w:pPr>
      <w:r>
        <w:rPr>
          <w:b/>
          <w:sz w:val="28"/>
        </w:rPr>
        <w:t>12. Special situations</w:t>
      </w:r>
    </w:p>
    <w:p>
      <w:pPr>
        <w:spacing w:before="238"/>
        <w:ind w:left="380" w:right="1301" w:hanging="1"/>
        <w:jc w:val="left"/>
        <w:rPr>
          <w:b/>
          <w:sz w:val="22"/>
        </w:rPr>
      </w:pPr>
      <w:r>
        <w:rPr>
          <w:b/>
          <w:sz w:val="22"/>
        </w:rPr>
        <w:t>Cases among children or staff at schools or in early childhood education and care services</w:t>
      </w:r>
    </w:p>
    <w:p>
      <w:pPr>
        <w:pStyle w:val="ListParagraph"/>
        <w:numPr>
          <w:ilvl w:val="0"/>
          <w:numId w:val="1"/>
        </w:numPr>
        <w:tabs>
          <w:tab w:pos="740" w:val="left" w:leader="none"/>
          <w:tab w:pos="741" w:val="left" w:leader="none"/>
        </w:tabs>
        <w:spacing w:line="240" w:lineRule="auto" w:before="1" w:after="0"/>
        <w:ind w:left="740" w:right="826" w:hanging="360"/>
        <w:jc w:val="left"/>
        <w:rPr>
          <w:sz w:val="22"/>
        </w:rPr>
      </w:pPr>
      <w:r>
        <w:rPr>
          <w:sz w:val="22"/>
        </w:rPr>
        <w:t>In addition to routine case and contact management, for sporadic cases with an unknown source ask about possible cases occurring among attendees or employees within the 3 weeks prior to onset in the known case. Parents and staff should be provided with information about the disease and its prevention. Written information such as a fact sheet</w:t>
      </w:r>
      <w:r>
        <w:rPr>
          <w:spacing w:val="-16"/>
          <w:sz w:val="22"/>
        </w:rPr>
        <w:t> </w:t>
      </w:r>
      <w:r>
        <w:rPr>
          <w:sz w:val="22"/>
        </w:rPr>
        <w:t>is</w:t>
      </w:r>
    </w:p>
    <w:sectPr>
      <w:pgSz w:w="11910" w:h="16840"/>
      <w:pgMar w:header="0" w:footer="918" w:top="1420" w:bottom="1100" w:left="106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Tahoma">
    <w:altName w:val="Tahom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8512" from="70.559998pt,782.279968pt" to="524.759998pt,782.279968pt" stroked="true" strokeweight=".48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7.11795pt;margin-top:782.641602pt;width:12.9pt;height:11pt;mso-position-horizontal-relative:page;mso-position-vertical-relative:page;z-index:-8488" type="#_x0000_t202" filled="false" stroked="false">
          <v:textbox inset="0,0,0,0">
            <w:txbxContent>
              <w:p>
                <w:pPr>
                  <w:spacing w:before="15"/>
                  <w:ind w:left="40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740" w:hanging="361"/>
      </w:pPr>
      <w:rPr>
        <w:rFonts w:hint="default" w:ascii="Symbol" w:hAnsi="Symbol" w:eastAsia="Symbol" w:cs="Symbol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730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1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11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02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93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83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74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5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1"/>
      <w:ind w:left="740" w:right="826" w:hanging="360"/>
    </w:pPr>
    <w:rPr>
      <w:rFonts w:ascii="Tahoma" w:hAnsi="Tahoma" w:eastAsia="Tahoma" w:cs="Tahom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greaves</dc:creator>
  <dc:title>Measles SoNG</dc:title>
  <dcterms:created xsi:type="dcterms:W3CDTF">2019-10-21T05:52:36Z</dcterms:created>
  <dcterms:modified xsi:type="dcterms:W3CDTF">2019-10-21T05:52:36Z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2019-10-21T00:00:00Z</vt:filetime>
  </property>
</Properties>
</file>